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 w:val="0"/>
          <w:color w:val="000000"/>
        </w:rPr>
        <w:t>ДОКЛАД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</w:rPr>
        <w:t>О профилактике потребления психоактивных веществ среди несовершеннолетних и о механизмах, не применяемых в Республике Казахстан</w:t>
      </w:r>
    </w:p>
    <w:p>
      <w:pPr>
        <w:jc w:val="both"/>
      </w:pPr>
      <w:r>
        <w:rPr>
          <w:b w:val="0"/>
        </w:rPr>
        <w:t>Уважаемые участники совещания!</w:t>
      </w:r>
    </w:p>
    <w:p>
      <w:pPr>
        <w:jc w:val="both"/>
      </w:pPr>
      <w:r>
        <w:rPr>
          <w:b w:val="0"/>
        </w:rPr>
        <w:t>Доклад посвящён двум вопросам, каждый из которых на первый взгляд является организационным, а по существу определяет, работает ли профилактика среди детей вообще.</w:t>
      </w:r>
    </w:p>
    <w:p>
      <w:pPr>
        <w:jc w:val="both"/>
      </w:pPr>
      <w:r>
        <w:rPr>
          <w:b w:val="0"/>
        </w:rPr>
        <w:t>Вопрос первый: дети проходят медицинское освидетельствование, вещество в организме обнаруживается, но на учёт они не ставятся и организация образования об этом не уведомляется. Вопрос второй: бесплатными кружками и секциями охвачено 90 тысяч детей из 360 тысяч, то есть каждый четвёртый.</w:t>
      </w:r>
    </w:p>
    <w:p>
      <w:pPr>
        <w:jc w:val="both"/>
      </w:pPr>
      <w:r>
        <w:rPr>
          <w:b w:val="0"/>
        </w:rPr>
        <w:t>По каждому вопросу я сначала приведу проверенные данные, а затем — механизмы, применяемые за рубежом и отсутствующие в республике. Всего таких механизмов десять, и шесть из них бюджетных затрат не требуют.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1. Что проверено</w:t>
      </w:r>
    </w:p>
    <w:p>
      <w:pPr>
        <w:jc w:val="both"/>
      </w:pPr>
      <w:r>
        <w:rPr>
          <w:b w:val="0"/>
        </w:rPr>
        <w:t>Использованы две областные выгрузки.</w:t>
      </w:r>
    </w:p>
    <w:p>
      <w:pPr>
        <w:jc w:val="both"/>
      </w:pPr>
      <w:r>
        <w:rPr>
          <w:b w:val="0"/>
        </w:rPr>
        <w:t>Первая — диспансерный учёт лиц с психическими и поведенческими расстройствами по кодам МКБ-10 F00–F99 по Алматинской области на 8 сентября 2026 года, 15 053 записи.</w:t>
      </w:r>
    </w:p>
    <w:p>
      <w:pPr>
        <w:jc w:val="both"/>
      </w:pPr>
      <w:r>
        <w:rPr>
          <w:b w:val="0"/>
        </w:rPr>
        <w:t>Вторая — форма 1-АД, административные протоколы по области за период с 1 января по 11 июня 2026 года, 4 462 протокола. Изучены в том числе фабулы протоколов, что позволило установить, каким образом фиксировался факт потребления.</w:t>
      </w:r>
    </w:p>
    <w:p>
      <w:pPr>
        <w:jc w:val="both"/>
      </w:pPr>
      <w:r>
        <w:rPr>
          <w:b w:val="0"/>
        </w:rPr>
        <w:t>Показатели охвата детей организованным досугом приведены по данным, представленным управлением образования.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2. Вопрос первый: освидетельствование, за которым ничего не следует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2.1. Факт потребления устанавливается лабораторно</w:t>
      </w:r>
    </w:p>
    <w:p>
      <w:pPr>
        <w:jc w:val="both"/>
      </w:pPr>
      <w:r>
        <w:rPr>
          <w:b w:val="0"/>
        </w:rPr>
        <w:t>По статье 461 Кодекса об административных правонарушениях — потребление наркотических средств без назначения врача — за период составлен 91 протокол в отношении 87 лиц. По статье 440-1 — появление в общественном месте в состоянии наркотического опьянения — составлено 131 протокол.</w:t>
      </w:r>
    </w:p>
    <w:p>
      <w:pPr>
        <w:jc w:val="both"/>
      </w:pPr>
      <w:r>
        <w:rPr>
          <w:b w:val="0"/>
        </w:rPr>
        <w:t>В совокупности состояние наркотического опьянения за пять с половиной месяцев установлено у 222 человек.</w:t>
      </w:r>
    </w:p>
    <w:p>
      <w:pPr>
        <w:jc w:val="both"/>
      </w:pPr>
      <w:r>
        <w:rPr>
          <w:b w:val="0"/>
        </w:rPr>
        <w:t>Существенно то, каким образом оно устанавливалось. Из фабул протоколов следует, что факт потребления подтверждался медицинским освидетельствованием с лабораторным исследованием: в материалах прямо указано обнаружение мефедрона в моче освидетельствованного.</w:t>
      </w:r>
    </w:p>
    <w:p>
      <w:pPr>
        <w:jc w:val="both"/>
      </w:pPr>
      <w:r>
        <w:rPr>
          <w:b w:val="0"/>
        </w:rPr>
        <w:t>Иными словами, государство располагает не подозрением и не предположением, а результатом лабораторного исследования, оформленным процессуально.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2.2. Результат исследования никуда не передаётся</w:t>
      </w:r>
    </w:p>
    <w:p>
      <w:pPr>
        <w:jc w:val="both"/>
      </w:pPr>
      <w:r>
        <w:rPr>
          <w:b w:val="0"/>
        </w:rPr>
        <w:t>Сопоставим это с учётом. По коду F15, то есть по стимуляторам, к которым относится мефедрон, на диспансерном учёте всей Алматинской области состоит десять человек. Коды F14 и F16 не встречаются ни разу.</w:t>
      </w:r>
    </w:p>
    <w:p>
      <w:pPr>
        <w:jc w:val="both"/>
      </w:pPr>
      <w:r>
        <w:rPr>
          <w:b w:val="0"/>
        </w:rPr>
        <w:t>Из 87 лиц, привлечённых по статье 461, на наркологическом учёте состоит один человек, ещё пятнадцать — на учёте по иным психиатрическим диагнозам, а 71 человек, то есть 81,6 процента, не состоит нигде. Из 131 лица, привлечённого по статье 440-1, на каком-либо психиатрическом учёте состоят девять.</w:t>
      </w:r>
    </w:p>
    <w:p>
      <w:pPr>
        <w:jc w:val="both"/>
      </w:pPr>
      <w:r>
        <w:rPr>
          <w:b w:val="0"/>
        </w:rPr>
        <w:t>Таким образом, освидетельствование обнаруживает вещество, протокол составляется, штраф взыскивается — и на этом работа государства с человеком заканчивается. Результат лабораторного исследования не порождает ни постановки на учёт, ни направления к врачу, ни уведомления кого-либо.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2.3. Детей в наркологическом учёте нет</w:t>
      </w:r>
    </w:p>
    <w:p>
      <w:pPr>
        <w:jc w:val="both"/>
      </w:pPr>
      <w:r>
        <w:rPr>
          <w:b w:val="0"/>
        </w:rPr>
        <w:t>Среди 287 лиц, состоящих на наркологическом учёте области по кодам F11–F19, несовершеннолетних двое. В возрасте от восемнадцати до двадцати четырёх лет — тридцать один человек. На всю область.</w:t>
      </w:r>
    </w:p>
    <w:p>
      <w:pPr>
        <w:jc w:val="both"/>
      </w:pPr>
      <w:r>
        <w:rPr>
          <w:b w:val="0"/>
        </w:rPr>
        <w:t>Возрастная структура административной практики это подтверждает с другой стороны. По статье 461 из 87 лиц в возрасте до двадцати одного года нет ни одного, по статье 440-1 из 131 лица таких — один. То есть выявление потребителей среди подростков не ведётся, а доклады о благополучии в этой возрастной группе основаны на отсутствии выявления, а не на отсутствии потребления.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2.4. Препятствие не является техническим</w:t>
      </w:r>
    </w:p>
    <w:p>
      <w:pPr>
        <w:jc w:val="both"/>
      </w:pPr>
      <w:r>
        <w:rPr>
          <w:b w:val="0"/>
        </w:rPr>
        <w:t>Здесь необходимо отсечь возможное возражение о том, что несовершеннолетних на учёт ставить затруднительно в силу возраста либо согласия родителей.</w:t>
      </w:r>
    </w:p>
    <w:p>
      <w:pPr>
        <w:jc w:val="both"/>
      </w:pPr>
      <w:r>
        <w:rPr>
          <w:b w:val="0"/>
        </w:rPr>
        <w:t>В том же диспансерном учёте по кодам F00–F99 состоит 2 024 лица младше восемнадцати лет. Дети в учёте есть, и система умеет их учитывать. Их нет именно в наркологическом учёте.</w:t>
      </w:r>
    </w:p>
    <w:p>
      <w:pPr>
        <w:jc w:val="both"/>
      </w:pPr>
      <w:r>
        <w:rPr>
          <w:b w:val="0"/>
        </w:rPr>
        <w:t>Следовательно, дело не в возрасте, не в законодательном запрете и не в отсутствии информационной системы. Отсутствует механизм передачи результата освидетельствования — в организацию здравоохранения для постановки на учёт и в организацию образования для работы с ребёнком.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3. Вопрос второй: охват организованным досугом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3.1. Вне охвата остаются 270 тысяч детей</w:t>
      </w:r>
    </w:p>
    <w:p>
      <w:pPr>
        <w:jc w:val="both"/>
      </w:pPr>
      <w:r>
        <w:rPr>
          <w:b w:val="0"/>
        </w:rPr>
        <w:t>Бесплатными кружками и секциями охвачено 90 тысяч детей из 360 тысяч, что составляет 25 процентов. Вне охвата остаются 270 тысяч.</w:t>
      </w:r>
    </w:p>
    <w:p>
      <w:pPr>
        <w:jc w:val="both"/>
      </w:pPr>
      <w:r>
        <w:rPr>
          <w:b w:val="0"/>
        </w:rPr>
        <w:t>Обычным ответом на такую цифру является предложение построить объекты и открыть новые секции. Международная практика показывает иное решение: меняется не количество объектов, а способ финансирования. Средства начинают следовать за ребёнком, а не поступать в учреждение, и оплачиваются существующие места, включая места в негосударственных организациях.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3.2. Действующий показатель измеряет не то, что связано с результатом</w:t>
      </w:r>
    </w:p>
    <w:p>
      <w:pPr>
        <w:jc w:val="both"/>
      </w:pPr>
      <w:r>
        <w:rPr>
          <w:b w:val="0"/>
        </w:rPr>
        <w:t>Это замечание существеннее первого.</w:t>
      </w:r>
    </w:p>
    <w:p>
      <w:pPr>
        <w:jc w:val="both"/>
      </w:pPr>
      <w:r>
        <w:rPr>
          <w:b w:val="0"/>
        </w:rPr>
        <w:t>Исландские когортные исследования указывают на три фактора, связанных со снижением потребления среди подростков: осведомлённость родителей о том, где и с кем ребёнок проводит вечер; знакомство родителей с родителями друзей ребёнка; занятия командным спортом не менее четырёх раз в неделю.</w:t>
      </w:r>
    </w:p>
    <w:p>
      <w:pPr>
        <w:jc w:val="both"/>
      </w:pPr>
      <w:r>
        <w:rPr>
          <w:b w:val="0"/>
        </w:rPr>
        <w:t>Обращаю внимание на последний: значение имеет частота занятий, а не факт зачисления. Действующий показатель охвата этого не различает — ребёнок, посетивший секцию однократно, учитывается наравне с посещающим занятия ежедневно. Соответственно и цифра в 90 тысяч не говорит нам о том, сколько детей реально находится под организованным присмотром в вечернее время.</w:t>
      </w:r>
    </w:p>
    <w:p>
      <w:pPr>
        <w:jc w:val="both"/>
      </w:pPr>
      <w:r>
        <w:rPr>
          <w:b w:val="0"/>
        </w:rPr>
        <w:t>Оговорюсь: приведённые данные являются корреляционными и причинной связи не доказывают. Однако для целей планирования вывод состоит в том, что измерять следует частоту, а не численность зачисленных.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4. Десять механизмов, отсутствующих в Республике Казахстан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первый. После освидетельствования: от факта к маршруту</w:t>
      </w:r>
    </w:p>
    <w:p>
      <w:pPr>
        <w:jc w:val="both"/>
      </w:pPr>
      <w:r>
        <w:rPr>
          <w:b/>
        </w:rPr>
        <w:t>Механизм 1. Уведомление организации образования до начала следующего учебного дня.</w:t>
      </w:r>
      <w:r>
        <w:rPr>
          <w:b w:val="0"/>
        </w:rPr>
        <w:t xml:space="preserve"> На полицию возлагается обязанность уведомить школу или колледж ребёнка о происшествии до начала следующего учебного дня. Уведомление направляется не в организацию образования вообще, а конкретному назначенному должностному лицу. Охватываются все дети, связанные с домохозяйством, включая тех, кто при происшествии не присутствовал либо проживает отдельно.</w:t>
      </w:r>
    </w:p>
    <w:p>
      <w:pPr>
        <w:jc w:val="both"/>
      </w:pPr>
      <w:r>
        <w:rPr>
          <w:b w:val="0"/>
        </w:rPr>
        <w:t>Международный опыт: Англия и Уэльс, схема, известная как Operation Encompass. С 7 ноября 2025 года действует статутное руководство Министерства внутренних дел, закрепляющее данный порядок в качестве законной обязанности полиции, а не добровольной практики. Уведомление организации образования не заменяет направления в органы опеки при подозрении на причинение ребёнку существенного вреда — это дополнительный, а не альтернативный канал.</w:t>
      </w:r>
    </w:p>
    <w:p>
      <w:pPr>
        <w:jc w:val="both"/>
      </w:pPr>
      <w:r>
        <w:rPr>
          <w:b w:val="0"/>
        </w:rPr>
        <w:t>Применительно к нашему вопросу это точный образец: определены обязанность, срок и адресат.</w:t>
      </w:r>
    </w:p>
    <w:p>
      <w:pPr>
        <w:jc w:val="both"/>
      </w:pPr>
      <w:r>
        <w:rPr>
          <w:b/>
        </w:rPr>
        <w:t>Механизм 2. Назначенное ответственное лицо в каждой организации образования.</w:t>
      </w:r>
      <w:r>
        <w:rPr>
          <w:b w:val="0"/>
        </w:rPr>
        <w:t xml:space="preserve"> Уведомление не имеет смысла, если в школе отсутствует тот, кто обязан его принять и отработать. В каждой организации образования определяется ответственный за защиту ребёнка, который получает уведомление и обеспечивает последующую поддержку. В той же схеме предусмотрены обучение персонала школ распознаванию признаков неблагополучия и действующая телефонная линия профессиональных консультаций, где педагог может получить рекомендацию психолога по конкретному ребёнку.</w:t>
      </w:r>
    </w:p>
    <w:p>
      <w:pPr>
        <w:jc w:val="both"/>
      </w:pPr>
      <w:r>
        <w:rPr>
          <w:b w:val="0"/>
        </w:rPr>
        <w:t>В республике данная функция размыта между несколькими работниками, отдельного ответственного и обязанности отработать поступивший сигнал не установлено.</w:t>
      </w:r>
    </w:p>
    <w:p>
      <w:pPr>
        <w:jc w:val="both"/>
      </w:pPr>
      <w:r>
        <w:rPr>
          <w:b/>
        </w:rPr>
        <w:t>Механизм 3. Регламент последующих действий: скрининг, краткая интервенция, направление.</w:t>
      </w:r>
      <w:r>
        <w:rPr>
          <w:b w:val="0"/>
        </w:rPr>
        <w:t xml:space="preserve"> Положительный результат освидетельствования автоматически влечёт короткую беседу по утверждённому протоколу и направление к специалисту, причём на каждом звене установлены срок и ответственный. Постановка на учёт при таком построении является следствием маршрута, а не самоцелью.</w:t>
      </w:r>
    </w:p>
    <w:p>
      <w:pPr>
        <w:jc w:val="both"/>
      </w:pPr>
      <w:r>
        <w:rPr>
          <w:b w:val="0"/>
        </w:rPr>
        <w:t>Подход известен как SBIRT и применяется в том числе в школьной среде. Оговорка: чувствительность скрининговых инструментов невысока, а работа с подростком требует процедур защиты конфиденциальности, которые следует закладывать в регламент изначально.</w:t>
      </w:r>
    </w:p>
    <w:p>
      <w:pPr>
        <w:jc w:val="both"/>
      </w:pPr>
      <w:r>
        <w:rPr>
          <w:b w:val="0"/>
        </w:rPr>
        <w:t>В республике освидетельствование регламентировано, последующие действия — нет: не определены ни срок, ни ответственный, ни обязательный результат.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второй. Охват досугом без строительства объектов</w:t>
      </w:r>
    </w:p>
    <w:p>
      <w:pPr>
        <w:jc w:val="both"/>
      </w:pPr>
      <w:r>
        <w:rPr>
          <w:b/>
        </w:rPr>
        <w:t>Механизм 4. Досуговый ваучер: средства следуют за ребёнком.</w:t>
      </w:r>
      <w:r>
        <w:rPr>
          <w:b w:val="0"/>
        </w:rPr>
        <w:t xml:space="preserve"> Каждому ребёнку определённого возраста ежегодно зачисляется фиксированная сумма на именную карту, которую родители расходуют в любой аккредитованной организации — спортивной секции, музыкальной школе, творческом кружке, в том числе негосударственной. Государство не создаёт новые места, а оплачивает существующие.</w:t>
      </w:r>
    </w:p>
    <w:p>
      <w:pPr>
        <w:jc w:val="both"/>
      </w:pPr>
      <w:r>
        <w:rPr>
          <w:b w:val="0"/>
        </w:rPr>
        <w:t>Международный опыт: город Рейкьявик, ваучер Frístundakort — 75 000 исландских крон в год каждому жителю в возрасте от 6 до 18 лет на утверждённые виды занятий. Исландские муниципалитеты в качестве вопроса политики существенно увеличили финансирование досуга, обеспечив его доступность для всех именно через удобную систему ваучеров.</w:t>
      </w:r>
    </w:p>
    <w:p>
      <w:pPr>
        <w:jc w:val="both"/>
      </w:pPr>
      <w:r>
        <w:rPr>
          <w:b w:val="0"/>
        </w:rPr>
        <w:t>В республике механизм отсутствует: финансирование направляется учреждению, вследствие чего охват ограничен мощностью конкретных организаций, а негосударственный сектор в систему не включён.</w:t>
      </w:r>
    </w:p>
    <w:p>
      <w:pPr>
        <w:jc w:val="both"/>
      </w:pPr>
      <w:r>
        <w:rPr>
          <w:b/>
        </w:rPr>
        <w:t>Механизм 5. Учёт частоты занятий вместо факта зачисления.</w:t>
      </w:r>
      <w:r>
        <w:rPr>
          <w:b w:val="0"/>
        </w:rPr>
        <w:t xml:space="preserve"> Целевым показателем становится доля детей, посещающих занятия не менее четырёх раз в неделю. Изменение показателя затрат не требует, но меняет содержание работы: организации перестают быть заинтересованы в формальном зачислении.</w:t>
      </w:r>
    </w:p>
    <w:p>
      <w:pPr>
        <w:jc w:val="both"/>
      </w:pPr>
      <w:r>
        <w:rPr>
          <w:b/>
        </w:rPr>
        <w:t>Механизм 6. Вечерние часы для несовершеннолетних в связке с родительскими соглашениями и обходами.</w:t>
      </w:r>
      <w:r>
        <w:rPr>
          <w:b w:val="0"/>
        </w:rPr>
        <w:t xml:space="preserve"> Ограничение нахождения несовершеннолетних вне дома в вечернее время подкрепляется двумя дополнительными элементами: добровольными соглашениями, которые подписывают родительские комитеты школ, и обходами территории силами самих родителей.</w:t>
      </w:r>
    </w:p>
    <w:p>
      <w:pPr>
        <w:jc w:val="both"/>
      </w:pPr>
      <w:r>
        <w:rPr>
          <w:b w:val="0"/>
        </w:rPr>
        <w:t>В Исландии установлены 22 часа зимой и полночь летом, а так называемый родительский патруль обходит дворы и площадки в вечернее время. Работает именно связка из трёх элементов: норма, договорённость родителей между собой и видимое присутствие взрослых на территории.</w:t>
      </w:r>
    </w:p>
    <w:p>
      <w:pPr>
        <w:jc w:val="both"/>
      </w:pPr>
      <w:r>
        <w:rPr>
          <w:b w:val="0"/>
        </w:rPr>
        <w:t>В республике ограничение по времени законодательством предусмотрено, однако две другие составляющие отсутствуют, вследствие чего норма исполняется формально.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третий. Данные и кадры</w:t>
      </w:r>
    </w:p>
    <w:p>
      <w:pPr>
        <w:jc w:val="both"/>
      </w:pPr>
      <w:r>
        <w:rPr>
          <w:b/>
        </w:rPr>
        <w:t>Механизм 7. Ежегодный анонимный опрос всех школьников с возвратом данных в район.</w:t>
      </w:r>
      <w:r>
        <w:rPr>
          <w:b w:val="0"/>
        </w:rPr>
        <w:t xml:space="preserve"> Все школьники проходят стандартный анонимный опрос о потреблении и о факторах риска и защиты, после чего каждый район и каждая школа получают собственный результат в течение нескольких недель и планируют на нём работу предстоящего года.</w:t>
      </w:r>
    </w:p>
    <w:p>
      <w:pPr>
        <w:jc w:val="both"/>
      </w:pPr>
      <w:r>
        <w:rPr>
          <w:b w:val="0"/>
        </w:rPr>
        <w:t>В Исландии муниципалитеты и школы, охватывающие свыше 80 процентов населения страны, ежегодно используют обновлённые данные такого опроса для постановки задач на год вперёд. Модель включена Агентством Европейского союза по наркотикам в базу лучших практик. Подчеркну: ядром модели является не отдельная воспитательная программа, а именно ежегодные данные по каждой школе.</w:t>
      </w:r>
    </w:p>
    <w:p>
      <w:pPr>
        <w:jc w:val="both"/>
      </w:pPr>
      <w:r>
        <w:rPr>
          <w:b w:val="0"/>
        </w:rPr>
        <w:t>В республике механизм отсутствует, планирование опирается на ведомственную отчётность.</w:t>
      </w:r>
    </w:p>
    <w:p>
      <w:pPr>
        <w:jc w:val="both"/>
      </w:pPr>
      <w:r>
        <w:rPr>
          <w:b/>
        </w:rPr>
        <w:t>Механизм 8. Штатный специалист по профилактике в районе и в организации образования.</w:t>
      </w:r>
      <w:r>
        <w:rPr>
          <w:b w:val="0"/>
        </w:rPr>
        <w:t xml:space="preserve"> Должность, для которой первичная профилактика составляет основную, а не дополнительную обязанность, с закреплённым рабочим временем именно на эту работу. В Исландии большинство муниципалитетов и многие школы располагают такими сотрудниками; дополнительно созданы финансируемые государством общественные организации, усиливающие взаимодействие родителей на уровне школы и района.</w:t>
      </w:r>
    </w:p>
    <w:p>
      <w:pPr>
        <w:jc w:val="both"/>
      </w:pPr>
      <w:r>
        <w:rPr>
          <w:b w:val="0"/>
        </w:rPr>
        <w:t>В республике профилактика распределена как дополнительная нагрузка между участковыми инспекторами, педагогами и социальными работниками, вследствие чего ответственного за результат не имеется.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Блок четвёртый. Программы с подтверждённым эффектом вместо лекций</w:t>
      </w:r>
    </w:p>
    <w:p>
      <w:pPr>
        <w:jc w:val="both"/>
      </w:pPr>
      <w:r>
        <w:rPr>
          <w:b/>
        </w:rPr>
        <w:t>Механизм 9. Планирование профилактики по измеренным факторам риска.</w:t>
      </w:r>
      <w:r>
        <w:rPr>
          <w:b w:val="0"/>
        </w:rPr>
        <w:t xml:space="preserve"> Район измеряет распространённость конкретных факторов риска и защиты среди своих подростков, подбирает под выявленный профиль программы из проверенного перечня и отслеживает изменения. Профилактика становится системой планирования, а не набором мероприятий.</w:t>
      </w:r>
    </w:p>
    <w:p>
      <w:pPr>
        <w:jc w:val="both"/>
      </w:pPr>
      <w:r>
        <w:rPr>
          <w:b w:val="0"/>
        </w:rPr>
        <w:t>Система известна как Communities That Care. Общинно-рандомизированное исследование охватило 4 407 участников в семи штатах с наблюдением с пятого класса. К 21 году вероятность устойчивого воздержания от так называемых стартовых психоактивных веществ оказалась выше на 49 процентов, от антисоциального поведения — на 18 процентов, а пожизненная вероятность вовлечения в насилие ниже на 11 процентов. К 23 годам расчёт затрат и выгод дал чистую приведённую стоимость 7 152 доллара на одного участника. Оговорка: абсолютные величины эффектов невелики и составляют от 3,5 до 6,1 процентного пункта, однако экономическая целесообразность подтверждена устойчиво.</w:t>
      </w:r>
    </w:p>
    <w:p>
      <w:pPr>
        <w:jc w:val="both"/>
      </w:pPr>
      <w:r>
        <w:rPr>
          <w:b/>
        </w:rPr>
        <w:t>Механизм 10. Две сессии по профилю личности вместо общих лекций.</w:t>
      </w:r>
      <w:r>
        <w:rPr>
          <w:b w:val="0"/>
        </w:rPr>
        <w:t xml:space="preserve"> Скрининг выделяет подростков с одним из четырёх профилей риска — тревожная чувствительность, негативное мышление, импульсивность, поиск ощущений, — после чего с ними проводится всего две групповые сессии, выстроенные под конкретный профиль. Программа известна как PreVenture.</w:t>
      </w:r>
    </w:p>
    <w:p>
      <w:pPr>
        <w:jc w:val="both"/>
      </w:pPr>
      <w:r>
        <w:rPr>
          <w:b w:val="0"/>
        </w:rPr>
        <w:t>Кластерное рандомизированное испытание в австралийских школах с наблюдением семь лет. Через три года шансы начать употреблять алкоголь оказались ниже (отношение шансов 0,55), запойного питья — 0,59, связанного с алкоголем вреда — 0,55. Через семь лет сохранилось снижение шансов любого алкоголь-связанного вреда (0,81), тогда как различия по запойному питью и опасному употреблению статистической значимости не достигли.</w:t>
      </w:r>
    </w:p>
    <w:p>
      <w:pPr>
        <w:jc w:val="both"/>
      </w:pPr>
      <w:r>
        <w:rPr>
          <w:b w:val="0"/>
        </w:rPr>
        <w:t>Отдельный вывод того же испытания практически важен: комбинирование универсальной и селективной программ дополнительного эффекта не дало. Следовательно, внедрять всё одновременно не требуется.</w:t>
      </w:r>
    </w:p>
    <w:p>
      <w:pPr>
        <w:jc w:val="both"/>
      </w:pPr>
      <w:r>
        <w:rPr>
          <w:b w:val="0"/>
        </w:rPr>
        <w:t>В республике профилактика в школе строится на лекциях для всего класса, результативность которых в отношении поведения, а не знаний, не подтверждена.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</w:rPr>
        <w:t>4.1. Группировка по требуемым усилиям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Что требуется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21"/>
              </w:rPr>
              <w:t>Механизмы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Регламент или приказ, без дополнительных средств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1, 2, 3, 5, 6, 10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Решение маслихата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9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Бюджетное финансирование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21"/>
              </w:rPr>
              <w:t>4, 7, 8</w:t>
            </w:r>
          </w:p>
        </w:tc>
      </w:tr>
    </w:tbl>
    <w:p>
      <w:pPr>
        <w:jc w:val="both"/>
      </w:pPr>
      <w:r>
        <w:rPr>
          <w:b w:val="0"/>
        </w:rPr>
        <w:t>Первоочередными являются механизмы 1, 2 и 3: они прямо отвечают на первый вопрос доклада, имеют готовый нормативный образец и не требуют средств.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5. Что предлагается</w:t>
      </w:r>
    </w:p>
    <w:p>
      <w:pPr>
        <w:jc w:val="both"/>
      </w:pPr>
      <w:r>
        <w:rPr>
          <w:b/>
        </w:rPr>
        <w:t>Первое.</w:t>
      </w:r>
      <w:r>
        <w:rPr>
          <w:b w:val="0"/>
        </w:rPr>
        <w:t xml:space="preserve"> Внести в департамент полиции представление о разработке регламента, предусматривающего по каждому факту медицинского освидетельствования несовершеннолетнего, установившего потребление психоактивного вещества, обязательное направление сведений в организацию здравоохранения по месту жительства и в организацию образования, в которой обучается ребёнок, в срок до начала следующего учебного дня.</w:t>
      </w:r>
    </w:p>
    <w:p>
      <w:pPr>
        <w:jc w:val="both"/>
      </w:pPr>
      <w:r>
        <w:rPr>
          <w:b/>
        </w:rPr>
        <w:t>Второе.</w:t>
      </w:r>
      <w:r>
        <w:rPr>
          <w:b w:val="0"/>
        </w:rPr>
        <w:t xml:space="preserve"> Поставить перед управлением образования вопрос об определении в каждой организации образования должностного лица, ответственного за получение и отработку таких сведений, с проведением его обучения.</w:t>
      </w:r>
    </w:p>
    <w:p>
      <w:pPr>
        <w:jc w:val="both"/>
      </w:pPr>
      <w:r>
        <w:rPr>
          <w:b/>
        </w:rPr>
        <w:t>Третье.</w:t>
      </w:r>
      <w:r>
        <w:rPr>
          <w:b w:val="0"/>
        </w:rPr>
        <w:t xml:space="preserve"> Поставить перед управлением здравоохранения вопрос о причинах, по которым при 222 лицах с установленным за пять с половиной месяцев состоянием наркотического опьянения на учёте по коду F15 состоит десять человек по области, а среди 287 лиц наркологического учёта несовершеннолетних двое.</w:t>
      </w:r>
    </w:p>
    <w:p>
      <w:pPr>
        <w:jc w:val="both"/>
      </w:pPr>
      <w:r>
        <w:rPr>
          <w:b/>
        </w:rPr>
        <w:t>Четвёртое.</w:t>
      </w:r>
      <w:r>
        <w:rPr>
          <w:b w:val="0"/>
        </w:rPr>
        <w:t xml:space="preserve"> Инициировать разработку регламента действий после положительного результата освидетельствования по схеме «скрининг — краткая интервенция — направление» с установлением сроков, ответственных и процедур защиты конфиденциальности несовершеннолетнего.</w:t>
      </w:r>
    </w:p>
    <w:p>
      <w:pPr>
        <w:jc w:val="both"/>
      </w:pPr>
      <w:r>
        <w:rPr>
          <w:b/>
        </w:rPr>
        <w:t>Пятое.</w:t>
      </w:r>
      <w:r>
        <w:rPr>
          <w:b w:val="0"/>
        </w:rPr>
        <w:t xml:space="preserve"> Поставить перед управлением образования и маслихатом области вопрос о введении досугового ваучера, при котором средства следуют за ребёнком и могут быть израсходованы в аккредитованных организациях, включая негосударственные, как способа охватить 270 тысяч детей без строительства новых объектов.</w:t>
      </w:r>
    </w:p>
    <w:p>
      <w:pPr>
        <w:jc w:val="both"/>
      </w:pPr>
      <w:r>
        <w:rPr>
          <w:b/>
        </w:rPr>
        <w:t>Шестое.</w:t>
      </w:r>
      <w:r>
        <w:rPr>
          <w:b w:val="0"/>
        </w:rPr>
        <w:t xml:space="preserve"> Предложить изменить целевой показатель охвата организованным досугом: вместо численности зачисленных учитывать долю детей, посещающих занятия не менее четырёх раз в неделю.</w:t>
      </w:r>
    </w:p>
    <w:p>
      <w:pPr>
        <w:jc w:val="both"/>
      </w:pPr>
      <w:r>
        <w:rPr>
          <w:b/>
        </w:rPr>
        <w:t>Седьмое.</w:t>
      </w:r>
      <w:r>
        <w:rPr>
          <w:b w:val="0"/>
        </w:rPr>
        <w:t xml:space="preserve"> Проработать вопрос о проведении ежегодного анонимного опроса школьников с возвратом результатов в каждый район и каждую организацию образования для планирования работы на предстоящий год, а также о введении должности специалиста по первичной профилактике.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6. Оговорки к доводам доклада</w:t>
      </w:r>
    </w:p>
    <w:p>
      <w:pPr>
        <w:jc w:val="both"/>
      </w:pPr>
      <w:r>
        <w:rPr>
          <w:b w:val="0"/>
        </w:rPr>
        <w:t>Исландский результат — снижение у десятиклассников ежедневного курения с 23 до 2 процентов, состояния опьянения за последние 30 дней с 42 до 6 процентов и доли пробовавших каннабис с 17 до 6 процентов в период с 1998 по 2018 год — достигался на фоне жёсткой национальной алкогольной политики и высокой социальной сплочённости, которые сами облегчали введение вечерних часов и изменение поведения родителей. Переносимы прежде всего ваучер, показатель частоты занятий и ежегодный опрос; расчёт на быстрое воспроизведение исландских процентов был бы необоснован.</w:t>
      </w:r>
    </w:p>
    <w:p>
      <w:pPr>
        <w:jc w:val="both"/>
      </w:pPr>
      <w:r>
        <w:rPr>
          <w:b w:val="0"/>
        </w:rPr>
        <w:t>Данные о трёх факторах защиты являются корреляционными и причинной связи не доказывают.</w:t>
      </w:r>
    </w:p>
    <w:p>
      <w:pPr>
        <w:jc w:val="both"/>
      </w:pPr>
      <w:r>
        <w:rPr>
          <w:b w:val="0"/>
        </w:rPr>
        <w:t>По системе планирования от факторов риска абсолютные величины эффектов невелики; по личностно-ориентированной программе через семь лет статистически устойчивым осталось снижение связанного с алкоголем вреда, но не запойного питья.</w:t>
      </w:r>
    </w:p>
    <w:p>
      <w:pPr>
        <w:jc w:val="both"/>
      </w:pPr>
      <w:r>
        <w:rPr>
          <w:b w:val="0"/>
        </w:rPr>
        <w:t>Скрининговые инструменты обладают невысокой чувствительностью и требуют процедур защиты конфиденциальности подростка. Это необходимо предусмотреть с самого начала: в противном случае обязательное уведомление организации образования начнёт удерживать детей и их родителей от обращения за помощью и сработает против цели.</w:t>
      </w:r>
    </w:p>
    <w:p>
      <w:pPr>
        <w:jc w:val="both"/>
      </w:pPr>
      <w:r>
        <w:rPr>
          <w:b w:val="0"/>
        </w:rPr>
        <w:t>Показатели охвата организованным досугом приведены по представленным данным и самостоятельной проверке в рамках настоящего доклада не подвергались.</w:t>
      </w:r>
    </w:p>
    <w:p/>
    <w:p>
      <w:pPr>
        <w:pStyle w:val="Heading2"/>
      </w:pPr>
      <w:r>
        <w:rPr>
          <w:rFonts w:ascii="Times New Roman" w:hAnsi="Times New Roman"/>
          <w:b w:val="0"/>
          <w:color w:val="000000"/>
        </w:rPr>
        <w:t>7. Источники</w:t>
      </w:r>
    </w:p>
    <w:p>
      <w:pPr>
        <w:jc w:val="both"/>
      </w:pPr>
      <w:r>
        <w:rPr>
          <w:b w:val="0"/>
        </w:rPr>
        <w:t xml:space="preserve">Обязанность полиции Англии и Уэльса уведомлять организацию образования о происшествии: статутное руководство Министерства внутренних дел от 7 ноября 2025 года — </w:t>
      </w:r>
      <w:hyperlink r:id="rId9">
        <w:r>
          <w:rPr>
            <w:color w:val="1A4FA0"/>
            <w:u w:val="single"/>
          </w:rPr>
          <w:t>https://www.gov.uk/government/publications/information-sharing-duty-operation-encompass</w:t>
        </w:r>
      </w:hyperlink>
    </w:p>
    <w:p>
      <w:pPr>
        <w:jc w:val="both"/>
      </w:pPr>
      <w:r>
        <w:rPr>
          <w:b w:val="0"/>
        </w:rPr>
        <w:t xml:space="preserve">Полный текст руководства по схеме Operation Encompass: сроки, адресат уведомления, охват детей — </w:t>
      </w:r>
      <w:hyperlink r:id="rId10">
        <w:r>
          <w:rPr>
            <w:color w:val="1A4FA0"/>
            <w:u w:val="single"/>
          </w:rPr>
          <w:t>https://assets.publishing.service.gov.uk/media/690cd04e276dd02bc451ab66/Operation+Encompass+Statutory+Guidance.pdf</w:t>
        </w:r>
      </w:hyperlink>
    </w:p>
    <w:p>
      <w:pPr>
        <w:jc w:val="both"/>
      </w:pPr>
      <w:r>
        <w:rPr>
          <w:b w:val="0"/>
        </w:rPr>
        <w:t xml:space="preserve">Проверка предположений о факторах риска и защиты в исландской модели профилактики. Health Education Research — </w:t>
      </w:r>
      <w:hyperlink r:id="rId11">
        <w:r>
          <w:rPr>
            <w:color w:val="1A4FA0"/>
            <w:u w:val="single"/>
          </w:rPr>
          <w:t>https://pmc.ncbi.nlm.nih.gov/articles/PMC8530171/</w:t>
        </w:r>
      </w:hyperlink>
    </w:p>
    <w:p>
      <w:pPr>
        <w:jc w:val="both"/>
      </w:pPr>
      <w:r>
        <w:rPr>
          <w:b w:val="0"/>
        </w:rPr>
        <w:t xml:space="preserve">Развитие и руководящие принципы исландской модели профилактики. Health Promotion Practice — </w:t>
      </w:r>
      <w:hyperlink r:id="rId12">
        <w:r>
          <w:rPr>
            <w:color w:val="1A4FA0"/>
            <w:u w:val="single"/>
          </w:rPr>
          <w:t>https://doi.org/10.1177/1524839919849032</w:t>
        </w:r>
      </w:hyperlink>
    </w:p>
    <w:p>
      <w:pPr>
        <w:jc w:val="both"/>
      </w:pPr>
      <w:r>
        <w:rPr>
          <w:b w:val="0"/>
        </w:rPr>
        <w:t xml:space="preserve">Агентство Европейского союза по наркотикам: исландская модель в базе лучших практик, описание элементов и условий переносимости — </w:t>
      </w:r>
      <w:hyperlink r:id="rId13">
        <w:r>
          <w:rPr>
            <w:color w:val="1A4FA0"/>
            <w:u w:val="single"/>
          </w:rPr>
          <w:t>https://www.euda.europa.eu/best-practice/xchange/planet-youth-%E2%80%94-icelandic-model-application-environmental-prevention-principles-based-systematic-local-assessment-risk-and-protective-factors_en</w:t>
        </w:r>
      </w:hyperlink>
    </w:p>
    <w:p>
      <w:pPr>
        <w:jc w:val="both"/>
      </w:pPr>
      <w:r>
        <w:rPr>
          <w:b w:val="0"/>
        </w:rPr>
        <w:t xml:space="preserve">Отдалённые результаты системы планирования профилактики к 21 году. American Journal of Public Health — </w:t>
      </w:r>
      <w:hyperlink r:id="rId14">
        <w:r>
          <w:rPr>
            <w:color w:val="1A4FA0"/>
            <w:u w:val="single"/>
          </w:rPr>
          <w:t>https://pmc.ncbi.nlm.nih.gov/articles/PMC5888048/</w:t>
        </w:r>
      </w:hyperlink>
    </w:p>
    <w:p>
      <w:pPr>
        <w:jc w:val="both"/>
      </w:pPr>
      <w:r>
        <w:rPr>
          <w:b w:val="0"/>
        </w:rPr>
        <w:t xml:space="preserve">Расчёт затрат и выгод той же системы к 23 годам — </w:t>
      </w:r>
      <w:hyperlink r:id="rId15">
        <w:r>
          <w:rPr>
            <w:color w:val="1A4FA0"/>
            <w:u w:val="single"/>
          </w:rPr>
          <w:t>https://pmc.ncbi.nlm.nih.gov/articles/PMC8375313/</w:t>
        </w:r>
      </w:hyperlink>
    </w:p>
    <w:p>
      <w:pPr>
        <w:jc w:val="both"/>
      </w:pPr>
      <w:r>
        <w:rPr>
          <w:b w:val="0"/>
        </w:rPr>
        <w:t xml:space="preserve">Семилетние результаты личностно-ориентированной профилактики. JAMA Network Open — </w:t>
      </w:r>
      <w:hyperlink r:id="rId16">
        <w:r>
          <w:rPr>
            <w:color w:val="1A4FA0"/>
            <w:u w:val="single"/>
          </w:rPr>
          <w:t>https://doi.org/10.1001/jamanetworkopen.2022.42544</w:t>
        </w:r>
      </w:hyperlink>
    </w:p>
    <w:p>
      <w:pPr>
        <w:jc w:val="both"/>
      </w:pPr>
      <w:r>
        <w:rPr>
          <w:b w:val="0"/>
        </w:rPr>
        <w:t xml:space="preserve">Трёхлетние результаты универсальной и селективной школьной профилактики. Addiction — </w:t>
      </w:r>
      <w:hyperlink r:id="rId17">
        <w:r>
          <w:rPr>
            <w:color w:val="1A4FA0"/>
            <w:u w:val="single"/>
          </w:rPr>
          <w:t>https://onlinelibrary.wiley.com/doi/10.1111/add.15178</w:t>
        </w:r>
      </w:hyperlink>
    </w:p>
    <w:p>
      <w:pPr>
        <w:jc w:val="both"/>
      </w:pPr>
      <w:r>
        <w:rPr>
          <w:b w:val="0"/>
        </w:rPr>
        <w:t xml:space="preserve">Сравнение универсальной, селективной и комбинированной профилактики на семилетнем горизонте — </w:t>
      </w:r>
      <w:hyperlink r:id="rId18">
        <w:r>
          <w:rPr>
            <w:color w:val="1A4FA0"/>
            <w:u w:val="single"/>
          </w:rPr>
          <w:t>https://pubmed.ncbi.nlm.nih.gov/34823025/</w:t>
        </w:r>
      </w:hyperlink>
    </w:p>
    <w:p/>
    <w:p>
      <w:pPr>
        <w:jc w:val="both"/>
      </w:pPr>
      <w:r>
        <w:rPr>
          <w:b w:val="0"/>
        </w:rPr>
        <w:t xml:space="preserve">Областные показатели рассчитаны по выгрузке диспансерного учёта F00–F99 по Алматинской области на 8 сентября 2026 года (15 053 записи) и форме 1-АД по области за период с 1 января по 11 июня 2026 года (4 462 протокола) скриптами </w:t>
      </w:r>
      <w:r>
        <w:rPr>
          <w:rFonts w:ascii="Consolas" w:hAnsi="Consolas"/>
          <w:sz w:val="21"/>
        </w:rPr>
        <w:t>scripts/analyze_narko_oblast.py</w:t>
      </w:r>
      <w:r>
        <w:rPr>
          <w:b w:val="0"/>
        </w:rPr>
        <w:t xml:space="preserve"> и </w:t>
      </w:r>
      <w:r>
        <w:rPr>
          <w:rFonts w:ascii="Consolas" w:hAnsi="Consolas"/>
          <w:sz w:val="21"/>
        </w:rPr>
        <w:t>scripts/crossmatch_narko_adm_oblast.py</w:t>
      </w:r>
      <w:r>
        <w:rPr>
          <w:b w:val="0"/>
        </w:rPr>
        <w:t>. Персональные данные в расчётах не выводятся.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v.uk/government/publications/information-sharing-duty-operation-encompass" TargetMode="External"/><Relationship Id="rId10" Type="http://schemas.openxmlformats.org/officeDocument/2006/relationships/hyperlink" Target="https://assets.publishing.service.gov.uk/media/690cd04e276dd02bc451ab66/Operation+Encompass+Statutory+Guidance.pdf" TargetMode="External"/><Relationship Id="rId11" Type="http://schemas.openxmlformats.org/officeDocument/2006/relationships/hyperlink" Target="https://pmc.ncbi.nlm.nih.gov/articles/PMC8530171/" TargetMode="External"/><Relationship Id="rId12" Type="http://schemas.openxmlformats.org/officeDocument/2006/relationships/hyperlink" Target="https://doi.org/10.1177/1524839919849032" TargetMode="External"/><Relationship Id="rId13" Type="http://schemas.openxmlformats.org/officeDocument/2006/relationships/hyperlink" Target="https://www.euda.europa.eu/best-practice/xchange/planet-youth-%E2%80%94-icelandic-model-application-environmental-prevention-principles-based-systematic-local-assessment-risk-and-protective-factors_en" TargetMode="External"/><Relationship Id="rId14" Type="http://schemas.openxmlformats.org/officeDocument/2006/relationships/hyperlink" Target="https://pmc.ncbi.nlm.nih.gov/articles/PMC5888048/" TargetMode="External"/><Relationship Id="rId15" Type="http://schemas.openxmlformats.org/officeDocument/2006/relationships/hyperlink" Target="https://pmc.ncbi.nlm.nih.gov/articles/PMC8375313/" TargetMode="External"/><Relationship Id="rId16" Type="http://schemas.openxmlformats.org/officeDocument/2006/relationships/hyperlink" Target="https://doi.org/10.1001/jamanetworkopen.2022.42544" TargetMode="External"/><Relationship Id="rId17" Type="http://schemas.openxmlformats.org/officeDocument/2006/relationships/hyperlink" Target="https://onlinelibrary.wiley.com/doi/10.1111/add.15178" TargetMode="External"/><Relationship Id="rId18" Type="http://schemas.openxmlformats.org/officeDocument/2006/relationships/hyperlink" Target="https://pubmed.ncbi.nlm.nih.gov/34823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