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val="0"/>
          <w:color w:val="000000"/>
        </w:rPr>
        <w:t>Справка</w:t>
      </w:r>
    </w:p>
    <w:p>
      <w:pPr>
        <w:pStyle w:val="Heading2"/>
      </w:pPr>
      <w:r>
        <w:rPr>
          <w:rFonts w:ascii="Times New Roman" w:hAnsi="Times New Roman"/>
          <w:b w:val="0"/>
          <w:color w:val="000000"/>
        </w:rPr>
        <w:t>о работе субъектов профилактики с жертвами бытового насилия, доставленными в кризисный центр (Карасайский район, 2026 год)</w:t>
      </w:r>
    </w:p>
    <w:p>
      <w:pPr>
        <w:pStyle w:val="Heading3"/>
      </w:pPr>
      <w:r>
        <w:rPr>
          <w:rFonts w:ascii="Times New Roman" w:hAnsi="Times New Roman"/>
          <w:b w:val="0"/>
          <w:color w:val="000000"/>
        </w:rPr>
        <w:t>1. Что проверено</w:t>
      </w:r>
    </w:p>
    <w:p>
      <w:pPr>
        <w:jc w:val="both"/>
      </w:pPr>
      <w:r>
        <w:rPr>
          <w:b w:val="0"/>
        </w:rPr>
        <w:t>Проверка проведена по первичным массивам, а не по сводным отчётам:</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40"/>
            </w:pPr>
            <w:r>
              <w:rPr>
                <w:b/>
                <w:sz w:val="21"/>
              </w:rPr>
              <w:t>Источник</w:t>
            </w:r>
          </w:p>
        </w:tc>
        <w:tc>
          <w:tcPr>
            <w:tcW w:type="dxa" w:w="3324"/>
          </w:tcPr>
          <w:p>
            <w:pPr>
              <w:spacing w:after="40"/>
            </w:pPr>
            <w:r>
              <w:rPr>
                <w:b/>
                <w:sz w:val="21"/>
              </w:rPr>
              <w:t>Период</w:t>
            </w:r>
          </w:p>
        </w:tc>
        <w:tc>
          <w:tcPr>
            <w:tcW w:type="dxa" w:w="3324"/>
          </w:tcPr>
          <w:p>
            <w:pPr>
              <w:spacing w:after="40"/>
            </w:pPr>
            <w:r>
              <w:rPr>
                <w:b/>
                <w:sz w:val="21"/>
              </w:rPr>
              <w:t>Объём</w:t>
            </w:r>
          </w:p>
        </w:tc>
      </w:tr>
      <w:tr>
        <w:tc>
          <w:tcPr>
            <w:tcW w:type="dxa" w:w="3324"/>
          </w:tcPr>
          <w:p>
            <w:pPr>
              <w:spacing w:after="40"/>
            </w:pPr>
            <w:r>
              <w:rPr>
                <w:b w:val="0"/>
                <w:sz w:val="21"/>
              </w:rPr>
              <w:t>Форма 1-АД (административная практика Карасайского РУВД)</w:t>
            </w:r>
          </w:p>
        </w:tc>
        <w:tc>
          <w:tcPr>
            <w:tcW w:type="dxa" w:w="3324"/>
          </w:tcPr>
          <w:p>
            <w:pPr>
              <w:spacing w:after="40"/>
            </w:pPr>
            <w:r>
              <w:rPr>
                <w:b w:val="0"/>
                <w:sz w:val="21"/>
              </w:rPr>
              <w:t>05.02.2025 – 31.07.2026</w:t>
            </w:r>
          </w:p>
        </w:tc>
        <w:tc>
          <w:tcPr>
            <w:tcW w:type="dxa" w:w="3324"/>
          </w:tcPr>
          <w:p>
            <w:pPr>
              <w:spacing w:after="40"/>
            </w:pPr>
            <w:r>
              <w:rPr>
                <w:b w:val="0"/>
                <w:sz w:val="21"/>
              </w:rPr>
              <w:t>26 870 материалов</w:t>
            </w:r>
          </w:p>
        </w:tc>
      </w:tr>
      <w:tr>
        <w:tc>
          <w:tcPr>
            <w:tcW w:type="dxa" w:w="3324"/>
          </w:tcPr>
          <w:p>
            <w:pPr>
              <w:spacing w:after="40"/>
            </w:pPr>
            <w:r>
              <w:rPr>
                <w:b w:val="0"/>
                <w:sz w:val="21"/>
              </w:rPr>
              <w:t>Информационная система профилактического учёта ОВД (защитные предписания, особые требования, предостережения)</w:t>
            </w:r>
          </w:p>
        </w:tc>
        <w:tc>
          <w:tcPr>
            <w:tcW w:type="dxa" w:w="3324"/>
          </w:tcPr>
          <w:p>
            <w:pPr>
              <w:spacing w:after="40"/>
            </w:pPr>
            <w:r>
              <w:rPr>
                <w:b w:val="0"/>
                <w:sz w:val="21"/>
              </w:rPr>
              <w:t>по дате постановки на учёт</w:t>
            </w:r>
          </w:p>
        </w:tc>
        <w:tc>
          <w:tcPr>
            <w:tcW w:type="dxa" w:w="3324"/>
          </w:tcPr>
          <w:p>
            <w:pPr>
              <w:spacing w:after="40"/>
            </w:pPr>
            <w:r>
              <w:rPr>
                <w:b w:val="0"/>
                <w:sz w:val="21"/>
              </w:rPr>
              <w:t>8 309 записей по области</w:t>
            </w:r>
          </w:p>
        </w:tc>
      </w:tr>
      <w:tr>
        <w:tc>
          <w:tcPr>
            <w:tcW w:type="dxa" w:w="3324"/>
          </w:tcPr>
          <w:p>
            <w:pPr>
              <w:spacing w:after="40"/>
            </w:pPr>
            <w:r>
              <w:rPr>
                <w:b w:val="0"/>
                <w:sz w:val="21"/>
              </w:rPr>
              <w:t>ИС «FSM Social» — журнал обращений Центра поддержки семьи Карасайского района</w:t>
            </w:r>
          </w:p>
        </w:tc>
        <w:tc>
          <w:tcPr>
            <w:tcW w:type="dxa" w:w="3324"/>
          </w:tcPr>
          <w:p>
            <w:pPr>
              <w:spacing w:after="40"/>
            </w:pPr>
            <w:r>
              <w:rPr>
                <w:b w:val="0"/>
                <w:sz w:val="21"/>
              </w:rPr>
              <w:t>01.01.2026 – 09.09.2026</w:t>
            </w:r>
          </w:p>
        </w:tc>
        <w:tc>
          <w:tcPr>
            <w:tcW w:type="dxa" w:w="3324"/>
          </w:tcPr>
          <w:p>
            <w:pPr>
              <w:spacing w:after="40"/>
            </w:pPr>
            <w:r>
              <w:rPr>
                <w:b w:val="0"/>
                <w:sz w:val="21"/>
              </w:rPr>
              <w:t>497 обращений, 650 мер ИПР, 276 протоколов выезда</w:t>
            </w:r>
          </w:p>
        </w:tc>
      </w:tr>
      <w:tr>
        <w:tc>
          <w:tcPr>
            <w:tcW w:type="dxa" w:w="3324"/>
          </w:tcPr>
          <w:p>
            <w:pPr>
              <w:spacing w:after="40"/>
            </w:pPr>
            <w:r>
              <w:rPr>
                <w:b w:val="0"/>
                <w:sz w:val="21"/>
              </w:rPr>
              <w:t>Отчёт о проделанной работе ЦПС Карасайского района</w:t>
            </w:r>
          </w:p>
        </w:tc>
        <w:tc>
          <w:tcPr>
            <w:tcW w:type="dxa" w:w="3324"/>
          </w:tcPr>
          <w:p>
            <w:pPr>
              <w:spacing w:after="40"/>
            </w:pPr>
            <w:r>
              <w:rPr>
                <w:b w:val="0"/>
                <w:sz w:val="21"/>
              </w:rPr>
              <w:t>01.01.2026 – 09.09.2026</w:t>
            </w:r>
          </w:p>
        </w:tc>
        <w:tc>
          <w:tcPr>
            <w:tcW w:type="dxa" w:w="3324"/>
          </w:tcPr>
          <w:p>
            <w:pPr>
              <w:spacing w:after="40"/>
            </w:pPr>
            <w:r>
              <w:rPr>
                <w:b w:val="0"/>
                <w:sz w:val="21"/>
              </w:rPr>
              <w:t>сводные показатели</w:t>
            </w:r>
          </w:p>
        </w:tc>
      </w:tr>
      <w:tr>
        <w:tc>
          <w:tcPr>
            <w:tcW w:type="dxa" w:w="3324"/>
          </w:tcPr>
          <w:p>
            <w:pPr>
              <w:spacing w:after="40"/>
            </w:pPr>
            <w:r>
              <w:rPr>
                <w:b w:val="0"/>
                <w:sz w:val="21"/>
              </w:rPr>
              <w:t>Данные кризисного центра</w:t>
            </w:r>
          </w:p>
        </w:tc>
        <w:tc>
          <w:tcPr>
            <w:tcW w:type="dxa" w:w="3324"/>
          </w:tcPr>
          <w:p>
            <w:pPr>
              <w:spacing w:after="40"/>
            </w:pPr>
            <w:r>
              <w:rPr>
                <w:b w:val="0"/>
                <w:sz w:val="21"/>
              </w:rPr>
              <w:t>2026 год</w:t>
            </w:r>
          </w:p>
        </w:tc>
        <w:tc>
          <w:tcPr>
            <w:tcW w:type="dxa" w:w="3324"/>
          </w:tcPr>
          <w:p>
            <w:pPr>
              <w:spacing w:after="40"/>
            </w:pPr>
            <w:r>
              <w:rPr>
                <w:b w:val="0"/>
                <w:sz w:val="21"/>
              </w:rPr>
              <w:t>267 обслуженных лиц по области</w:t>
            </w:r>
          </w:p>
        </w:tc>
      </w:tr>
      <w:tr>
        <w:tc>
          <w:tcPr>
            <w:tcW w:type="dxa" w:w="3324"/>
          </w:tcPr>
          <w:p>
            <w:pPr>
              <w:spacing w:after="40"/>
            </w:pPr>
            <w:r>
              <w:rPr>
                <w:b w:val="0"/>
                <w:sz w:val="21"/>
              </w:rPr>
              <w:t>Материалы межведомственной комиссии по профилактике правонарушений Алматинской области</w:t>
            </w:r>
          </w:p>
        </w:tc>
        <w:tc>
          <w:tcPr>
            <w:tcW w:type="dxa" w:w="3324"/>
          </w:tcPr>
          <w:p>
            <w:pPr>
              <w:spacing w:after="40"/>
            </w:pPr>
            <w:r>
              <w:rPr>
                <w:b w:val="0"/>
                <w:sz w:val="21"/>
              </w:rPr>
              <w:t>заседания 12.02.2026 и 26.02.2026</w:t>
            </w:r>
          </w:p>
        </w:tc>
        <w:tc>
          <w:tcPr>
            <w:tcW w:type="dxa" w:w="3324"/>
          </w:tcPr>
          <w:p>
            <w:pPr>
              <w:spacing w:after="40"/>
            </w:pPr>
            <w:r>
              <w:rPr>
                <w:b w:val="0"/>
                <w:sz w:val="21"/>
              </w:rPr>
              <w:t>повестка, протокольные поручения, отчёты районов</w:t>
            </w:r>
          </w:p>
        </w:tc>
      </w:tr>
    </w:tbl>
    <w:p>
      <w:pPr>
        <w:pStyle w:val="Heading3"/>
      </w:pPr>
      <w:r>
        <w:rPr>
          <w:rFonts w:ascii="Times New Roman" w:hAnsi="Times New Roman"/>
          <w:b w:val="0"/>
          <w:color w:val="000000"/>
        </w:rPr>
        <w:t>2. Сколько людей прошло через кризисный центр</w:t>
      </w:r>
    </w:p>
    <w:p>
      <w:pPr>
        <w:jc w:val="both"/>
      </w:pPr>
      <w:r>
        <w:rPr>
          <w:b w:val="0"/>
        </w:rPr>
        <w:t>За 2026 год кризисный центр обслужил 267 человек, из них 71 женщину и 196 детей. Дети составляют 73 процента всех, кто получил в центре помощь.</w:t>
      </w:r>
    </w:p>
    <w:p>
      <w:pPr>
        <w:jc w:val="both"/>
      </w:pPr>
      <w:r>
        <w:rPr>
          <w:b w:val="0"/>
        </w:rPr>
        <w:t>Из Карасайского района в центр поступило 59 человек — 16 женщин и 43 ребёнка. Это второй показатель по области после Жамбылского района.</w:t>
      </w:r>
    </w:p>
    <w:p>
      <w:pPr>
        <w:jc w:val="both"/>
      </w:pPr>
      <w:r>
        <w:rPr>
          <w:b w:val="0"/>
        </w:rPr>
        <w:t>Цифра в 43 ребёнка — это 43 семьи, где обстановка дошла до того, что ребёнка пришлось увозить из дома. Каждый такой случай по закону должен был быть выявлен субъектами профилактики задолго до вывоза ребёнка. Проверка показывает, что этого не произошло.</w:t>
      </w:r>
    </w:p>
    <w:p>
      <w:pPr>
        <w:pStyle w:val="Heading3"/>
      </w:pPr>
      <w:r>
        <w:rPr>
          <w:rFonts w:ascii="Times New Roman" w:hAnsi="Times New Roman"/>
          <w:b w:val="0"/>
          <w:color w:val="000000"/>
        </w:rPr>
        <w:t>3. Что происходило до кризисного центра</w:t>
      </w:r>
    </w:p>
    <w:p>
      <w:pPr>
        <w:jc w:val="both"/>
      </w:pPr>
      <w:r>
        <w:rPr>
          <w:b w:val="0"/>
        </w:rPr>
        <w:t>Картина по району за 2026 год выглядит так.</w:t>
      </w:r>
    </w:p>
    <w:p>
      <w:pPr>
        <w:jc w:val="both"/>
      </w:pPr>
      <w:r>
        <w:rPr>
          <w:b w:val="0"/>
        </w:rPr>
        <w:t>Полиция составила 372 протокола по статье 73 КоАП — правонарушения в сфере семейно-бытовых отношений. Отдельно составлено 664 протокола по статье 127 КоАП — неисполнение родителями обязанностей по воспитанию детей. То есть факты насилия и неблагополучия в семьях фиксировались более тысячи раз за неполный год.</w:t>
      </w:r>
    </w:p>
    <w:p>
      <w:pPr>
        <w:jc w:val="both"/>
      </w:pPr>
      <w:r>
        <w:rPr>
          <w:b w:val="0"/>
        </w:rPr>
        <w:t>По итогам этой работы вынесено 230 защитных предписаний и 88 особых требований к поведению.</w:t>
      </w:r>
    </w:p>
    <w:p>
      <w:pPr>
        <w:jc w:val="both"/>
      </w:pPr>
      <w:r>
        <w:rPr>
          <w:b w:val="0"/>
        </w:rPr>
        <w:t>Центр поддержки семьи за тот же период принял 497 обращений. Из них 374 — сигналы от других государственных органов. Распределение сигналов по органам:</w:t>
      </w:r>
    </w:p>
    <w:tbl>
      <w:tblPr>
        <w:tblStyle w:val="TableGrid"/>
        <w:tblW w:type="auto" w:w="0"/>
        <w:tblLook w:firstColumn="1" w:firstRow="1" w:lastColumn="0" w:lastRow="0" w:noHBand="0" w:noVBand="1" w:val="04A0"/>
      </w:tblPr>
      <w:tblGrid>
        <w:gridCol w:w="4986"/>
        <w:gridCol w:w="4986"/>
      </w:tblGrid>
      <w:tr>
        <w:tc>
          <w:tcPr>
            <w:tcW w:type="dxa" w:w="4986"/>
          </w:tcPr>
          <w:p>
            <w:pPr>
              <w:spacing w:after="40"/>
            </w:pPr>
            <w:r>
              <w:rPr>
                <w:b/>
                <w:sz w:val="21"/>
              </w:rPr>
              <w:t>Орган, направивший сигнал в ЦПС</w:t>
            </w:r>
          </w:p>
        </w:tc>
        <w:tc>
          <w:tcPr>
            <w:tcW w:type="dxa" w:w="4986"/>
          </w:tcPr>
          <w:p>
            <w:pPr>
              <w:spacing w:after="40"/>
            </w:pPr>
            <w:r>
              <w:rPr>
                <w:b/>
                <w:sz w:val="21"/>
              </w:rPr>
              <w:t>Сигналов</w:t>
            </w:r>
          </w:p>
        </w:tc>
      </w:tr>
      <w:tr>
        <w:tc>
          <w:tcPr>
            <w:tcW w:type="dxa" w:w="4986"/>
          </w:tcPr>
          <w:p>
            <w:pPr>
              <w:spacing w:after="40"/>
            </w:pPr>
            <w:r>
              <w:rPr>
                <w:b w:val="0"/>
                <w:sz w:val="21"/>
              </w:rPr>
              <w:t>Служба пробации</w:t>
            </w:r>
          </w:p>
        </w:tc>
        <w:tc>
          <w:tcPr>
            <w:tcW w:type="dxa" w:w="4986"/>
          </w:tcPr>
          <w:p>
            <w:pPr>
              <w:spacing w:after="40"/>
            </w:pPr>
            <w:r>
              <w:rPr>
                <w:b w:val="0"/>
                <w:sz w:val="21"/>
              </w:rPr>
              <w:t>318</w:t>
            </w:r>
          </w:p>
        </w:tc>
      </w:tr>
      <w:tr>
        <w:tc>
          <w:tcPr>
            <w:tcW w:type="dxa" w:w="4986"/>
          </w:tcPr>
          <w:p>
            <w:pPr>
              <w:spacing w:after="40"/>
            </w:pPr>
            <w:r>
              <w:rPr>
                <w:b w:val="0"/>
                <w:sz w:val="21"/>
              </w:rPr>
              <w:t>Здравоохранение</w:t>
            </w:r>
          </w:p>
        </w:tc>
        <w:tc>
          <w:tcPr>
            <w:tcW w:type="dxa" w:w="4986"/>
          </w:tcPr>
          <w:p>
            <w:pPr>
              <w:spacing w:after="40"/>
            </w:pPr>
            <w:r>
              <w:rPr>
                <w:b w:val="0"/>
                <w:sz w:val="21"/>
              </w:rPr>
              <w:t>29</w:t>
            </w:r>
          </w:p>
        </w:tc>
      </w:tr>
      <w:tr>
        <w:tc>
          <w:tcPr>
            <w:tcW w:type="dxa" w:w="4986"/>
          </w:tcPr>
          <w:p>
            <w:pPr>
              <w:spacing w:after="40"/>
            </w:pPr>
            <w:r>
              <w:rPr>
                <w:b w:val="0"/>
                <w:sz w:val="21"/>
              </w:rPr>
              <w:t>Органы внутренних дел</w:t>
            </w:r>
          </w:p>
        </w:tc>
        <w:tc>
          <w:tcPr>
            <w:tcW w:type="dxa" w:w="4986"/>
          </w:tcPr>
          <w:p>
            <w:pPr>
              <w:spacing w:after="40"/>
            </w:pPr>
            <w:r>
              <w:rPr>
                <w:b w:val="0"/>
                <w:sz w:val="21"/>
              </w:rPr>
              <w:t>25</w:t>
            </w:r>
          </w:p>
        </w:tc>
      </w:tr>
      <w:tr>
        <w:tc>
          <w:tcPr>
            <w:tcW w:type="dxa" w:w="4986"/>
          </w:tcPr>
          <w:p>
            <w:pPr>
              <w:spacing w:after="40"/>
            </w:pPr>
            <w:r>
              <w:rPr>
                <w:b w:val="0"/>
                <w:sz w:val="21"/>
              </w:rPr>
              <w:t>Образование</w:t>
            </w:r>
          </w:p>
        </w:tc>
        <w:tc>
          <w:tcPr>
            <w:tcW w:type="dxa" w:w="4986"/>
          </w:tcPr>
          <w:p>
            <w:pPr>
              <w:spacing w:after="40"/>
            </w:pPr>
            <w:r>
              <w:rPr>
                <w:b w:val="0"/>
                <w:sz w:val="21"/>
              </w:rPr>
              <w:t>2</w:t>
            </w:r>
          </w:p>
        </w:tc>
      </w:tr>
      <w:tr>
        <w:tc>
          <w:tcPr>
            <w:tcW w:type="dxa" w:w="4986"/>
          </w:tcPr>
          <w:p>
            <w:pPr>
              <w:spacing w:after="40"/>
            </w:pPr>
            <w:r>
              <w:rPr>
                <w:b w:val="0"/>
                <w:sz w:val="21"/>
              </w:rPr>
              <w:t>Социальная защита</w:t>
            </w:r>
          </w:p>
        </w:tc>
        <w:tc>
          <w:tcPr>
            <w:tcW w:type="dxa" w:w="4986"/>
          </w:tcPr>
          <w:p>
            <w:pPr>
              <w:spacing w:after="40"/>
            </w:pPr>
            <w:r>
              <w:rPr>
                <w:b w:val="0"/>
                <w:sz w:val="21"/>
              </w:rPr>
              <w:t>0</w:t>
            </w:r>
          </w:p>
        </w:tc>
      </w:tr>
      <w:tr>
        <w:tc>
          <w:tcPr>
            <w:tcW w:type="dxa" w:w="4986"/>
          </w:tcPr>
          <w:p>
            <w:pPr>
              <w:spacing w:after="40"/>
            </w:pPr>
            <w:r>
              <w:rPr>
                <w:b w:val="0"/>
                <w:sz w:val="21"/>
              </w:rPr>
              <w:t>Местные исполнительные органы</w:t>
            </w:r>
          </w:p>
        </w:tc>
        <w:tc>
          <w:tcPr>
            <w:tcW w:type="dxa" w:w="4986"/>
          </w:tcPr>
          <w:p>
            <w:pPr>
              <w:spacing w:after="40"/>
            </w:pPr>
            <w:r>
              <w:rPr>
                <w:b w:val="0"/>
                <w:sz w:val="21"/>
              </w:rPr>
              <w:t>0</w:t>
            </w:r>
          </w:p>
        </w:tc>
      </w:tr>
    </w:tbl>
    <w:p>
      <w:pPr>
        <w:jc w:val="both"/>
      </w:pPr>
      <w:r>
        <w:rPr>
          <w:b w:val="0"/>
        </w:rPr>
        <w:t>Сопоставление этих двух блоков и даёт ответ на вопрос, какой орган не сработал.</w:t>
      </w:r>
    </w:p>
    <w:p>
      <w:pPr>
        <w:jc w:val="both"/>
      </w:pPr>
      <w:r>
        <w:rPr>
          <w:b w:val="0"/>
        </w:rPr>
        <w:t>Полиция зафиксировала 372 факта бытового насилия, а в Центр поддержки семьи направила 25 сигналов. По 347 фактам — 93 процента — Центр поддержки семьи о насилии в семье не уведомлялся. Пункт 3 статьи 72 Закона «О профилактике правонарушений» обязывает уведомить заинтересованные субъекты профилактики о факте бытового насилия в течение суток. Норма не исполняется системно.</w:t>
      </w:r>
    </w:p>
    <w:p>
      <w:pPr>
        <w:jc w:val="both"/>
      </w:pPr>
      <w:r>
        <w:rPr>
          <w:b w:val="0"/>
        </w:rPr>
        <w:t>Отдел образования при 664 протоколах по статье 127 КоАП направил в Центр поддержки семьи 2 сигнала за год. При этом именно из школ поступают дети, которых затем увозят в кризисный центр. Обязанности органов образования по выявлению детей в трудной жизненной ситуации закреплены статьями 20–23 Закона.</w:t>
      </w:r>
    </w:p>
    <w:p>
      <w:pPr>
        <w:jc w:val="both"/>
      </w:pPr>
      <w:r>
        <w:rPr>
          <w:b w:val="0"/>
        </w:rPr>
        <w:t>Отдел занятости и социальных программ и районный акимат не направили ни одного сигнала. Ноль сигналов от местного исполнительного органа — при том, что пункт 2 статьи 9 Закона возлагает на районный акимат прямую ответственность за реализацию мер общей профилактики.</w:t>
      </w:r>
    </w:p>
    <w:p>
      <w:pPr>
        <w:pStyle w:val="Heading3"/>
      </w:pPr>
      <w:r>
        <w:rPr>
          <w:rFonts w:ascii="Times New Roman" w:hAnsi="Times New Roman"/>
          <w:b w:val="0"/>
          <w:color w:val="000000"/>
        </w:rPr>
        <w:t>4. Работал ли Центр поддержки семьи с этими семьями</w:t>
      </w:r>
    </w:p>
    <w:p>
      <w:pPr>
        <w:jc w:val="both"/>
      </w:pPr>
      <w:r>
        <w:rPr>
          <w:b w:val="0"/>
        </w:rPr>
        <w:t>Из 59 человек, доставленных в кризисный центр из Карасайского района, Центр поддержки семьи оформил направление в трёх случаях (обращения № 217481, 238970, 286360). Ещё в трёх случаях ЦПС подключился уже после того, как человек находился в центре (№ 141820, 152007, 236198). По остальным 53 в системе «FSM Social» следов работы центра нет.</w:t>
      </w:r>
    </w:p>
    <w:p>
      <w:pPr>
        <w:jc w:val="both"/>
      </w:pPr>
      <w:r>
        <w:rPr>
          <w:b w:val="0"/>
        </w:rPr>
        <w:t>Во всём журнале из 497 обращений тема насилия или кризисного центра встречается в 21 строке. Мера «организация работы по предупреждению и профилактике бытового насилия в отношении женщин и детей» за год назначена один раз. Помещение несовершеннолетнего в центр поддержки детей оформлено один раз.</w:t>
      </w:r>
    </w:p>
    <w:p>
      <w:pPr>
        <w:jc w:val="both"/>
      </w:pPr>
      <w:r>
        <w:rPr>
          <w:b w:val="0"/>
        </w:rPr>
        <w:t>Случаев временного проживания в самом Центре поддержки семьи за 2026 год — ноль. Статья 10 Закона прямо требует, чтобы центр обеспечивал потерпевшим возможность временного проживания до одного месяца. Эта функция не реализуется, поэтому женщин с детьми везут в Конаев и Алматы — за 40–70 километров от дома.</w:t>
      </w:r>
    </w:p>
    <w:p>
      <w:pPr>
        <w:jc w:val="both"/>
      </w:pPr>
      <w:r>
        <w:rPr>
          <w:b w:val="0"/>
        </w:rPr>
        <w:t>Показательны сами формулировки закрытия обращений. По семьям, отнесённым цифровой картой семьи к «бордовой зоне» риска, результат дословно повторяет причину обращения: «Семья находится в списке ЦКС в бордовой зоне риска ст. 442 ч. 2» (обращения № 143018, 143039, 143096, 143170). Мера не назначена вовсе. По обращению № 206671 семья «бордовой зоны» закрыта выводом, что в услугах центра не нуждается. По обращению № 208073 женщина заявила о принуждении к половой связи и грубом обращении со стороны супруга — психолог связался по телефону, обратной связи не получил, обращение закрыто. Ни защитного предписания, ни направления в кризисный центр по этому факту не последовало.</w:t>
      </w:r>
    </w:p>
    <w:p>
      <w:pPr>
        <w:jc w:val="both"/>
      </w:pPr>
      <w:r>
        <w:rPr>
          <w:b w:val="0"/>
        </w:rPr>
        <w:t>Пункты 11–13 и 16–17 Правил деятельности центров поддержки семьи (приказ Министра культуры и информации № 256-НҚ) требуют первичной оценки, индивидуального плана и конкретных мероприятий со сроками. Формулировка, дублирующая причину обращения, этим требованиям не отвечает.</w:t>
      </w:r>
    </w:p>
    <w:p>
      <w:pPr>
        <w:pStyle w:val="Heading3"/>
      </w:pPr>
      <w:r>
        <w:rPr>
          <w:rFonts w:ascii="Times New Roman" w:hAnsi="Times New Roman"/>
          <w:b w:val="0"/>
          <w:color w:val="000000"/>
        </w:rPr>
        <w:t>5. Выезжали ли мобильные группы</w:t>
      </w:r>
    </w:p>
    <w:p>
      <w:pPr>
        <w:jc w:val="both"/>
      </w:pPr>
      <w:r>
        <w:rPr>
          <w:b w:val="0"/>
        </w:rPr>
        <w:t>За 2026 год по району зарегистрировано 276 протоколов выезда, фактически выполнено 97 выездов к семьям. В кризисный центр мобильные группы не выезжали — все выезды совершены по адресам проживания.</w:t>
      </w:r>
    </w:p>
    <w:p>
      <w:pPr>
        <w:jc w:val="both"/>
      </w:pPr>
      <w:r>
        <w:rPr>
          <w:b w:val="0"/>
        </w:rPr>
        <w:t>Главное в другом — в составе групп. Из 276 протоколов 239, то есть 87 процентов, исполнены только сотрудниками самого Центра поддержки семьи. Полиция участвовала в 11 выездах, школы — в 23, медицинская организация — в 2. Статья 11 Закона определяет мобильную группу как межведомственную: с участием органов внутренних дел, здравоохранения и образования. Фактически выезжает один социальный работник.</w:t>
      </w:r>
    </w:p>
    <w:p>
      <w:pPr>
        <w:jc w:val="both"/>
      </w:pPr>
      <w:r>
        <w:rPr>
          <w:b w:val="0"/>
        </w:rPr>
        <w:t>Кроме того, в 271 протоколе из 276 не заполнено время приезда. Проверить, состоялся ли выезд и сколько он длился, по таким протоколам невозможно.</w:t>
      </w:r>
    </w:p>
    <w:p>
      <w:pPr>
        <w:pStyle w:val="Heading3"/>
      </w:pPr>
      <w:r>
        <w:rPr>
          <w:rFonts w:ascii="Times New Roman" w:hAnsi="Times New Roman"/>
          <w:b w:val="0"/>
          <w:color w:val="000000"/>
        </w:rPr>
        <w:t>6. Качество учёта в органах внутренних дел</w:t>
      </w:r>
    </w:p>
    <w:p>
      <w:pPr>
        <w:jc w:val="both"/>
      </w:pPr>
      <w:r>
        <w:rPr>
          <w:b w:val="0"/>
        </w:rPr>
        <w:t>Из 230 защитных предписаний, вынесенных в 2026 году, в 122 карточках (53 процента) не заполнен населённый пункт проживания лица. Статья 59 Закона обязывает контролировать лиц, состоящих на профилактическом учёте, не реже двух раз в месяц по месту жительства. Без адреса такой контроль невозможен физически, а отметка о его проведении в этом случае недостоверна.</w:t>
      </w:r>
    </w:p>
    <w:p>
      <w:pPr>
        <w:pStyle w:val="Heading3"/>
      </w:pPr>
      <w:r>
        <w:rPr>
          <w:rFonts w:ascii="Times New Roman" w:hAnsi="Times New Roman"/>
          <w:b w:val="0"/>
          <w:color w:val="000000"/>
        </w:rPr>
        <w:t>7. Межведомственная комиссия и местные исполнительные органы</w:t>
      </w:r>
    </w:p>
    <w:p>
      <w:pPr>
        <w:jc w:val="both"/>
      </w:pPr>
      <w:r>
        <w:rPr>
          <w:b w:val="0"/>
        </w:rPr>
        <w:t>Повестка заседания межведомственной комиссии по профилактике правонарушений Алматинской области от 12 февраля 2026 года включала четыре вопроса: незаконный оборот вейпов, вымогательство, интернет-мошенничество и правонарушения в отношении несовершеннолетних. По трём из четырёх вопросов докладчиком выступал один и тот же представитель департамента полиции.</w:t>
      </w:r>
    </w:p>
    <w:p>
      <w:pPr>
        <w:jc w:val="both"/>
      </w:pPr>
      <w:r>
        <w:rPr>
          <w:b w:val="0"/>
        </w:rPr>
        <w:t>Бытовое насилие, работа центров поддержки семьи и кризисных центров на комиссии не рассматривались ни на первом, ни на внеочередном втором заседании 26 февраля 2026 года.</w:t>
      </w:r>
    </w:p>
    <w:p>
      <w:pPr>
        <w:jc w:val="both"/>
      </w:pPr>
      <w:r>
        <w:rPr>
          <w:b w:val="0"/>
        </w:rPr>
        <w:t>Пункт 4 статьи 72 Закона обязывает межведомственную комиссию раз в полгода оценивать эффективность раннего выявления семей в трудной жизненной ситуации и по результатам оценки вносить изменения в территориальную программу профилактики. Такая оценка не проводилась. Именно она должна была выявить разрыв между 372 протоколами полиции и 25 сигналами в Центр поддержки семьи.</w:t>
      </w:r>
    </w:p>
    <w:p>
      <w:pPr>
        <w:jc w:val="both"/>
      </w:pPr>
      <w:r>
        <w:rPr>
          <w:b w:val="0"/>
        </w:rPr>
        <w:t>Протокольные поручения комиссии сформулированы как «утвердить план», «обеспечить мониторинг», «взять на личный контроль». В них нет конкретного действия, измеримого результата и персонального исполнителя, поэтому их исполнение непроверяемо. Статьи 38 и 39 Закона определяют комиссию как орган, обеспечивающий координацию, — координация через неисполнимое поручение не достигается.</w:t>
      </w:r>
    </w:p>
    <w:p>
      <w:pPr>
        <w:jc w:val="both"/>
      </w:pPr>
      <w:r>
        <w:rPr>
          <w:b w:val="0"/>
        </w:rPr>
        <w:t>Отчёты районных акиматов об исполнении поручений подтверждаются ссылками на публикации в Instagram. В отчёте одного из районов приведено одиннадцать ссылок на видеоролики в качестве доказательства профилактической работы. Профилактический эффект такой отчётности не измеряется и с числом доставленных в кризисный центр детей никак не соотносится.</w:t>
      </w:r>
    </w:p>
    <w:p>
      <w:pPr>
        <w:jc w:val="both"/>
      </w:pPr>
      <w:r>
        <w:rPr>
          <w:b w:val="0"/>
        </w:rPr>
        <w:t>Отдельно следует истребовать у районного акимата сведения о создании кабинета помощи детям — жертвам насилия. Пункт 2 статьи 9 Закона относит это к прямой обязанности района. По имеющимся материалам сведений о таком кабинете в Карасайском районе нет, а 43 ребёнка за год вывезены за пределы района.</w:t>
      </w:r>
    </w:p>
    <w:p>
      <w:pPr>
        <w:pStyle w:val="Heading3"/>
      </w:pPr>
      <w:r>
        <w:rPr>
          <w:rFonts w:ascii="Times New Roman" w:hAnsi="Times New Roman"/>
          <w:b w:val="0"/>
          <w:color w:val="000000"/>
        </w:rPr>
        <w:t>8. Кто не сработал</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after="40"/>
            </w:pPr>
            <w:r>
              <w:rPr>
                <w:b/>
                <w:sz w:val="21"/>
              </w:rPr>
              <w:t>Орган</w:t>
            </w:r>
          </w:p>
        </w:tc>
        <w:tc>
          <w:tcPr>
            <w:tcW w:type="dxa" w:w="3324"/>
          </w:tcPr>
          <w:p>
            <w:pPr>
              <w:spacing w:after="40"/>
            </w:pPr>
            <w:r>
              <w:rPr>
                <w:b/>
                <w:sz w:val="21"/>
              </w:rPr>
              <w:t>Норма</w:t>
            </w:r>
          </w:p>
        </w:tc>
        <w:tc>
          <w:tcPr>
            <w:tcW w:type="dxa" w:w="3324"/>
          </w:tcPr>
          <w:p>
            <w:pPr>
              <w:spacing w:after="40"/>
            </w:pPr>
            <w:r>
              <w:rPr>
                <w:b/>
                <w:sz w:val="21"/>
              </w:rPr>
              <w:t>Что не исполнено</w:t>
            </w:r>
          </w:p>
        </w:tc>
      </w:tr>
      <w:tr>
        <w:tc>
          <w:tcPr>
            <w:tcW w:type="dxa" w:w="3324"/>
          </w:tcPr>
          <w:p>
            <w:pPr>
              <w:spacing w:after="40"/>
            </w:pPr>
            <w:r>
              <w:rPr>
                <w:b w:val="0"/>
                <w:sz w:val="21"/>
              </w:rPr>
              <w:t>Карасайское УП ДП</w:t>
            </w:r>
          </w:p>
        </w:tc>
        <w:tc>
          <w:tcPr>
            <w:tcW w:type="dxa" w:w="3324"/>
          </w:tcPr>
          <w:p>
            <w:pPr>
              <w:spacing w:after="40"/>
            </w:pPr>
            <w:r>
              <w:rPr>
                <w:b w:val="0"/>
                <w:sz w:val="21"/>
              </w:rPr>
              <w:t>ст. 72 п. 3, ст. 59 Закона</w:t>
            </w:r>
          </w:p>
        </w:tc>
        <w:tc>
          <w:tcPr>
            <w:tcW w:type="dxa" w:w="3324"/>
          </w:tcPr>
          <w:p>
            <w:pPr>
              <w:spacing w:after="40"/>
            </w:pPr>
            <w:r>
              <w:rPr>
                <w:b w:val="0"/>
                <w:sz w:val="21"/>
              </w:rPr>
              <w:t>347 фактов бытового насилия без уведомления ЦПС; 122 карточки профучёта без адреса</w:t>
            </w:r>
          </w:p>
        </w:tc>
      </w:tr>
      <w:tr>
        <w:tc>
          <w:tcPr>
            <w:tcW w:type="dxa" w:w="3324"/>
          </w:tcPr>
          <w:p>
            <w:pPr>
              <w:spacing w:after="40"/>
            </w:pPr>
            <w:r>
              <w:rPr>
                <w:b w:val="0"/>
                <w:sz w:val="21"/>
              </w:rPr>
              <w:t>Отдел образования</w:t>
            </w:r>
          </w:p>
        </w:tc>
        <w:tc>
          <w:tcPr>
            <w:tcW w:type="dxa" w:w="3324"/>
          </w:tcPr>
          <w:p>
            <w:pPr>
              <w:spacing w:after="40"/>
            </w:pPr>
            <w:r>
              <w:rPr>
                <w:b w:val="0"/>
                <w:sz w:val="21"/>
              </w:rPr>
              <w:t>ст. 20–23 Закона</w:t>
            </w:r>
          </w:p>
        </w:tc>
        <w:tc>
          <w:tcPr>
            <w:tcW w:type="dxa" w:w="3324"/>
          </w:tcPr>
          <w:p>
            <w:pPr>
              <w:spacing w:after="40"/>
            </w:pPr>
            <w:r>
              <w:rPr>
                <w:b w:val="0"/>
                <w:sz w:val="21"/>
              </w:rPr>
              <w:t>2 сигнала при 664 протоколах по ст. 127 КоАП</w:t>
            </w:r>
          </w:p>
        </w:tc>
      </w:tr>
      <w:tr>
        <w:tc>
          <w:tcPr>
            <w:tcW w:type="dxa" w:w="3324"/>
          </w:tcPr>
          <w:p>
            <w:pPr>
              <w:spacing w:after="40"/>
            </w:pPr>
            <w:r>
              <w:rPr>
                <w:b w:val="0"/>
                <w:sz w:val="21"/>
              </w:rPr>
              <w:t>Отдел занятости и социальных программ</w:t>
            </w:r>
          </w:p>
        </w:tc>
        <w:tc>
          <w:tcPr>
            <w:tcW w:type="dxa" w:w="3324"/>
          </w:tcPr>
          <w:p>
            <w:pPr>
              <w:spacing w:after="40"/>
            </w:pPr>
            <w:r>
              <w:rPr>
                <w:b w:val="0"/>
                <w:sz w:val="21"/>
              </w:rPr>
              <w:t>ст. 27, 28, 54, 55 Закона</w:t>
            </w:r>
          </w:p>
        </w:tc>
        <w:tc>
          <w:tcPr>
            <w:tcW w:type="dxa" w:w="3324"/>
          </w:tcPr>
          <w:p>
            <w:pPr>
              <w:spacing w:after="40"/>
            </w:pPr>
            <w:r>
              <w:rPr>
                <w:b w:val="0"/>
                <w:sz w:val="21"/>
              </w:rPr>
              <w:t>0 сигналов; учёт семей в ТЖС не ведётся во взаимодействии с ОВД</w:t>
            </w:r>
          </w:p>
        </w:tc>
      </w:tr>
      <w:tr>
        <w:tc>
          <w:tcPr>
            <w:tcW w:type="dxa" w:w="3324"/>
          </w:tcPr>
          <w:p>
            <w:pPr>
              <w:spacing w:after="40"/>
            </w:pPr>
            <w:r>
              <w:rPr>
                <w:b w:val="0"/>
                <w:sz w:val="21"/>
              </w:rPr>
              <w:t>Центр поддержки семьи</w:t>
            </w:r>
          </w:p>
        </w:tc>
        <w:tc>
          <w:tcPr>
            <w:tcW w:type="dxa" w:w="3324"/>
          </w:tcPr>
          <w:p>
            <w:pPr>
              <w:spacing w:after="40"/>
            </w:pPr>
            <w:r>
              <w:rPr>
                <w:b w:val="0"/>
                <w:sz w:val="21"/>
              </w:rPr>
              <w:t>ст. 10, 11 Закона; п. 11–13, 16–17, 20–22 Правил № 256-НҚ</w:t>
            </w:r>
          </w:p>
        </w:tc>
        <w:tc>
          <w:tcPr>
            <w:tcW w:type="dxa" w:w="3324"/>
          </w:tcPr>
          <w:p>
            <w:pPr>
              <w:spacing w:after="40"/>
            </w:pPr>
            <w:r>
              <w:rPr>
                <w:b w:val="0"/>
                <w:sz w:val="21"/>
              </w:rPr>
              <w:t>0 случаев временного проживания; 87 % выездов без межведомственного состава; результат дублирует причину обращения</w:t>
            </w:r>
          </w:p>
        </w:tc>
      </w:tr>
      <w:tr>
        <w:tc>
          <w:tcPr>
            <w:tcW w:type="dxa" w:w="3324"/>
          </w:tcPr>
          <w:p>
            <w:pPr>
              <w:spacing w:after="40"/>
            </w:pPr>
            <w:r>
              <w:rPr>
                <w:b w:val="0"/>
                <w:sz w:val="21"/>
              </w:rPr>
              <w:t>Районный акимат (МИО)</w:t>
            </w:r>
          </w:p>
        </w:tc>
        <w:tc>
          <w:tcPr>
            <w:tcW w:type="dxa" w:w="3324"/>
          </w:tcPr>
          <w:p>
            <w:pPr>
              <w:spacing w:after="40"/>
            </w:pPr>
            <w:r>
              <w:rPr>
                <w:b w:val="0"/>
                <w:sz w:val="21"/>
              </w:rPr>
              <w:t>ст. 9 п. 2 Закона</w:t>
            </w:r>
          </w:p>
        </w:tc>
        <w:tc>
          <w:tcPr>
            <w:tcW w:type="dxa" w:w="3324"/>
          </w:tcPr>
          <w:p>
            <w:pPr>
              <w:spacing w:after="40"/>
            </w:pPr>
            <w:r>
              <w:rPr>
                <w:b w:val="0"/>
                <w:sz w:val="21"/>
              </w:rPr>
              <w:t>0 сигналов; сведений о кабинете помощи детям — жертвам насилия нет</w:t>
            </w:r>
          </w:p>
        </w:tc>
      </w:tr>
      <w:tr>
        <w:tc>
          <w:tcPr>
            <w:tcW w:type="dxa" w:w="3324"/>
          </w:tcPr>
          <w:p>
            <w:pPr>
              <w:spacing w:after="40"/>
            </w:pPr>
            <w:r>
              <w:rPr>
                <w:b w:val="0"/>
                <w:sz w:val="21"/>
              </w:rPr>
              <w:t>Межведомственная комиссия</w:t>
            </w:r>
          </w:p>
        </w:tc>
        <w:tc>
          <w:tcPr>
            <w:tcW w:type="dxa" w:w="3324"/>
          </w:tcPr>
          <w:p>
            <w:pPr>
              <w:spacing w:after="40"/>
            </w:pPr>
            <w:r>
              <w:rPr>
                <w:b w:val="0"/>
                <w:sz w:val="21"/>
              </w:rPr>
              <w:t>ст. 38, 39, ст. 72 п. 4 Закона</w:t>
            </w:r>
          </w:p>
        </w:tc>
        <w:tc>
          <w:tcPr>
            <w:tcW w:type="dxa" w:w="3324"/>
          </w:tcPr>
          <w:p>
            <w:pPr>
              <w:spacing w:after="40"/>
            </w:pPr>
            <w:r>
              <w:rPr>
                <w:b w:val="0"/>
                <w:sz w:val="21"/>
              </w:rPr>
              <w:t>вопрос бытового насилия не выносился; полугодовая оценка раннего выявления не проводилась; поручения неисполнимы по формулировке</w:t>
            </w:r>
          </w:p>
        </w:tc>
      </w:tr>
    </w:tbl>
    <w:p>
      <w:pPr>
        <w:pStyle w:val="Heading3"/>
      </w:pPr>
      <w:r>
        <w:rPr>
          <w:rFonts w:ascii="Times New Roman" w:hAnsi="Times New Roman"/>
          <w:b w:val="0"/>
          <w:color w:val="000000"/>
        </w:rPr>
        <w:t>9. Низкобюджетные решения</w:t>
      </w:r>
    </w:p>
    <w:p>
      <w:pPr>
        <w:jc w:val="both"/>
      </w:pPr>
      <w:r>
        <w:rPr>
          <w:b w:val="0"/>
        </w:rPr>
        <w:t>Все предложения рассчитаны на действующие помещения и бюджет текущего содержания, без капитального строительства.</w:t>
      </w:r>
    </w:p>
    <w:p>
      <w:pPr>
        <w:jc w:val="both"/>
      </w:pPr>
      <w:r>
        <w:rPr>
          <w:b/>
        </w:rPr>
        <w:t>Комната-капсула временного пребывания при Центре поддержки семьи.</w:t>
      </w:r>
      <w:r>
        <w:rPr>
          <w:b w:val="0"/>
        </w:rPr>
        <w:t xml:space="preserve"> Одна-две изолированные комнаты в существующем здании центра: кровати, санузел, кухонный уголок, отдельный вход. Это прямое исполнение статьи 10 Закона о временном проживании потерпевших до одного месяца. Результат — женщину с детьми не нужно везти в Конаев; семья остаётся в районе, дети не меняют школу, работа с семьёй не прерывается. Расходы — мебель и бытовая техника.</w:t>
      </w:r>
    </w:p>
    <w:p>
      <w:pPr>
        <w:jc w:val="both"/>
      </w:pPr>
      <w:r>
        <w:rPr>
          <w:b/>
        </w:rPr>
        <w:t>Детская капсула — кабинет помощи детям, пострадавшим от насилия.</w:t>
      </w:r>
      <w:r>
        <w:rPr>
          <w:b w:val="0"/>
        </w:rPr>
        <w:t xml:space="preserve"> Одна комната при центре или районной больнице: мягкий интерьер, видеозапись опроса. Ребёнка опрашивают один раз, запись используют все органы, и ребёнок не пересказывает произошедшее по пять раз разным людям. Обязанность создания лежит на районном акимате по пункту 2 статьи 9 Закона. Расходы — ремонт, мебель, одна камера.</w:t>
      </w:r>
    </w:p>
    <w:p>
      <w:pPr>
        <w:jc w:val="both"/>
      </w:pPr>
      <w:r>
        <w:rPr>
          <w:b/>
        </w:rPr>
        <w:t>Капсула сигнала в школе.</w:t>
      </w:r>
      <w:r>
        <w:rPr>
          <w:b w:val="0"/>
        </w:rPr>
        <w:t xml:space="preserve"> QR-код в каждой школе района, ведущий на форму обращения в «FSM Social», и ответственный педагог, обязанный передавать сигнал в течение суток. Это устранит разрыв «664 протокола против 2 сигналов». Расходы — нулевые, нужен приказ отдела образования.</w:t>
      </w:r>
    </w:p>
    <w:p>
      <w:pPr>
        <w:jc w:val="both"/>
      </w:pPr>
      <w:r>
        <w:rPr>
          <w:b/>
        </w:rPr>
        <w:t>Капсула сигнала в приёмном покое районной больницы.</w:t>
      </w:r>
      <w:r>
        <w:rPr>
          <w:b w:val="0"/>
        </w:rPr>
        <w:t xml:space="preserve"> Планшет или бланк уведомления при поступлении пациента с травмами бытового характера, с автоматической передачей в ЦПС и полицию в течение суток по пункту 3 статьи 72 Закона. Расходы — один планшет.</w:t>
      </w:r>
    </w:p>
    <w:p>
      <w:pPr>
        <w:jc w:val="both"/>
      </w:pPr>
      <w:r>
        <w:rPr>
          <w:b/>
        </w:rPr>
        <w:t>Выездная капсула для удалённых округов.</w:t>
      </w:r>
      <w:r>
        <w:rPr>
          <w:b w:val="0"/>
        </w:rPr>
        <w:t xml:space="preserve"> График присутствия социального работника ЦПС по одному дню в неделю в акиматах Иргели, Шамалгана и Жибек жолы — там зафиксировано наибольшее число защитных предписаний. Используются помещения сельских акиматов. Расходы — только транспорт.</w:t>
      </w:r>
    </w:p>
    <w:p>
      <w:pPr>
        <w:pStyle w:val="Heading3"/>
      </w:pPr>
      <w:r>
        <w:rPr>
          <w:rFonts w:ascii="Times New Roman" w:hAnsi="Times New Roman"/>
          <w:b w:val="0"/>
          <w:color w:val="000000"/>
        </w:rPr>
        <w:t>10. Предлагается</w:t>
      </w:r>
    </w:p>
    <w:p>
      <w:pPr>
        <w:pStyle w:val="ListNumber"/>
      </w:pPr>
      <w:r>
        <w:rPr>
          <w:b w:val="0"/>
        </w:rPr>
        <w:t>Внести представление в акимат Карасайского района по пункту 2 статьи 9 и статье 57 Закона: об отсутствии сигналов в систему профилактики, о несоздании кабинета помощи детям — жертвам насилия, о необеспечении условий временного проживания при Центре поддержки семьи. Установить срок и ответственное должностное лицо.</w:t>
      </w:r>
    </w:p>
    <w:p>
      <w:pPr>
        <w:pStyle w:val="ListNumber"/>
      </w:pPr>
      <w:r>
        <w:rPr>
          <w:b w:val="0"/>
        </w:rPr>
        <w:t>Внести представление начальнику Карасайского УП ДП по факту неуведомления субъектов профилактики по 347 фактам бытового насилия и по факту ведения 122 карточек профилактического учёта без адреса проживания.</w:t>
      </w:r>
    </w:p>
    <w:p>
      <w:pPr>
        <w:pStyle w:val="ListNumber"/>
      </w:pPr>
      <w:r>
        <w:rPr>
          <w:b w:val="0"/>
        </w:rPr>
        <w:t>Инициировать вынесение на межведомственную комиссию отдельного вопроса о бытовом насилии с проектом протокольного поручения, содержащим конкретное действие, срок и персонального исполнителя, и потребовать проведения полугодовой оценки эффективности раннего выявления семей в трудной жизненной ситуации по пункту 4 статьи 72 Закона.</w:t>
      </w:r>
    </w:p>
    <w:p>
      <w:pPr>
        <w:pStyle w:val="ListNumber"/>
      </w:pPr>
      <w:r>
        <w:rPr>
          <w:b w:val="0"/>
        </w:rPr>
        <w:t>Провести сверку списка 59 лиц, доставленных в кризисный центр из района, с базой «FSM Social» и по каждому из 53 лиц, отсутствующих в системе, установить, какой орган располагал информацией и не передал её.</w:t>
      </w:r>
    </w:p>
    <w:p>
      <w:pPr>
        <w:pStyle w:val="ListNumber"/>
      </w:pPr>
      <w:r>
        <w:rPr>
          <w:b w:val="0"/>
        </w:rPr>
        <w:t>Истребовать у Центра поддержки семьи материалы по обращениям № 143018, 143039, 143096, 143170, 206671, 208073 и дать оценку закрытию обращений без назначения мер.</w:t>
      </w:r>
    </w:p>
    <w:p/>
    <w:p>
      <w:pPr>
        <w:jc w:val="both"/>
      </w:pPr>
      <w:r>
        <w:rPr>
          <w:b w:val="0"/>
          <w:i/>
        </w:rPr>
        <w:t>Справка составлена по первичным выгрузкам информационных систем. Расхождения периодов: данные административной практики — по 31.07.2026, данные ЦПС — по 09.09.2026, данные кризисного центра — за 2026 год.</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