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Helvetica" w:hAnsi="Helvetica"/>
          <w:b/>
          <w:color w:val="1E3A8A"/>
          <w:sz w:val="56"/>
        </w:rPr>
        <w:t>RevenueLens AI</w:t>
      </w:r>
    </w:p>
    <w:p>
      <w:pPr>
        <w:spacing w:after="160"/>
        <w:jc w:val="center"/>
      </w:pPr>
      <w:r>
        <w:rPr>
          <w:b/>
          <w:color w:val="2563EB"/>
          <w:sz w:val="28"/>
        </w:rPr>
        <w:t>Marketing-to-Revenue Attribution &amp; Funnel Intelligence Platform</w:t>
      </w:r>
    </w:p>
    <w:p>
      <w:pPr>
        <w:spacing w:after="480"/>
        <w:jc w:val="center"/>
      </w:pPr>
      <w:r>
        <w:rPr>
          <w:color w:val="64748B"/>
          <w:sz w:val="20"/>
        </w:rPr>
        <w:t>Comprehensive Technical, Analytical &amp; Strategic Project Report</w:t>
        <w:br/>
        <w:t>Academic Track: MBA Marketing &amp; Data Science / AI Analytics</w:t>
      </w:r>
    </w:p>
    <w:tbl>
      <w:tblPr>
        <w:tblW w:type="auto" w:w="0"/>
        <w:jc w:val="center"/>
        <w:tblLook w:firstColumn="1" w:firstRow="1" w:lastColumn="0" w:lastRow="0" w:noHBand="0" w:noVBand="1" w:val="04A0"/>
      </w:tblPr>
      <w:tblGrid>
        <w:gridCol w:w="9360"/>
      </w:tblGrid>
      <w:tr>
        <w:tc>
          <w:tcPr>
            <w:tcW w:type="dxa" w:w="9360"/>
            <w:shd w:val="clear" w:color="auto" w:fill="2563EB"/>
          </w:tcPr>
          <w:p>
            <w:pPr>
              <w:spacing w:before="40" w:after="40"/>
            </w:pPr>
          </w:p>
        </w:tc>
      </w:tr>
    </w:tbl>
    <w:p>
      <w:pPr>
        <w:spacing w:after="240"/>
      </w:pPr>
    </w:p>
    <w:p>
      <w:pPr>
        <w:keepNext/>
        <w:spacing w:before="360" w:after="120"/>
      </w:pPr>
      <w:r>
        <w:rPr>
          <w:rFonts w:ascii="Helvetica" w:hAnsi="Helvetica"/>
          <w:b/>
          <w:color w:val="1E3A8A"/>
          <w:sz w:val="32"/>
        </w:rPr>
        <w:t>1. Executive Summary &amp; Problem Context</w:t>
      </w:r>
    </w:p>
    <w:p>
      <w:r>
        <w:t>Modern digital enterprises and B2B/B2C organizations frequently face a costly operational dilemma known as the 'Marketing-to-Revenue Growth Paradox': despite aggressive increases in marketing expenditure and record volumes of top-of-funnel inbound leads, top-line recognized revenue growth remains sluggish or stagnant. Marketing departments celebrate low Cost Per Lead (CPL) and surging form fills, while Sales departments report that inbound prospects are unqualified, disengaged, or impossible to convert into paying customers.</w:t>
      </w:r>
    </w:p>
    <w:p>
      <w:r>
        <w:t>RevenueLens AI was engineered to bridge this critical divide. Designed as a high-caliber analytics platform for CMOs, Chief Revenue Officers (CROs), and Data Science practitioners, the system provides end-to-end visibility across the entire commercial pipeline. By tracking customer interactions from initial ad exposure through lead qualification, opportunity stages, and ultimate cash recognition, RevenueLens AI isolates funnel choke points, measures multi-touch revenue attribution, detects capital misallocation, and delivers mathematically grounded turnaround recommendations.</w:t>
      </w:r>
    </w:p>
    <w:tbl>
      <w:tblPr>
        <w:tblW w:type="auto" w:w="0"/>
        <w:jc w:val="center"/>
        <w:tblLook w:firstColumn="1" w:firstRow="1" w:lastColumn="0" w:lastRow="0" w:noHBand="0" w:noVBand="1" w:val="04A0"/>
      </w:tblPr>
      <w:tblGrid>
        <w:gridCol w:w="9360"/>
      </w:tblGrid>
      <w:tr>
        <w:tc>
          <w:tcPr>
            <w:tcW w:type="dxa" w:w="9360"/>
            <w:shd w:val="clear" w:color="auto" w:fill="F1F5F9"/>
            <w:tcMar>
              <w:top w:w="140" w:type="dxa"/>
              <w:bottom w:w="140" w:type="dxa"/>
              <w:left w:w="200" w:type="dxa"/>
              <w:right w:w="200" w:type="dxa"/>
            </w:tcMar>
          </w:tcPr>
          <w:p>
            <w:pPr>
              <w:spacing w:after="0"/>
            </w:pPr>
            <w:r>
              <w:rPr>
                <w:b/>
                <w:color w:val="2563EB"/>
              </w:rPr>
              <w:t xml:space="preserve">KEY STRATEGIC TAKEAWAY: </w:t>
            </w:r>
            <w:r>
              <w:rPr>
                <w:i/>
              </w:rPr>
              <w:t>Commercial growth fails not due to lack of inbound leads, but due to 'Vanity Metrics' masking poor lead qualification, speed-to-lead latency, and marketing spend concentrated in channels with negligible deal velocity.</w:t>
            </w:r>
          </w:p>
        </w:tc>
      </w:tr>
    </w:tbl>
    <w:p>
      <w:pPr>
        <w:spacing w:after="80"/>
      </w:pPr>
    </w:p>
    <w:p>
      <w:pPr>
        <w:keepNext/>
        <w:spacing w:before="360" w:after="120"/>
      </w:pPr>
      <w:r>
        <w:rPr>
          <w:rFonts w:ascii="Helvetica" w:hAnsi="Helvetica"/>
          <w:b/>
          <w:color w:val="1E3A8A"/>
          <w:sz w:val="32"/>
        </w:rPr>
        <w:t>2. System Architecture &amp; Technical Stack</w:t>
      </w:r>
    </w:p>
    <w:p>
      <w:r>
        <w:t>RevenueLens AI is architected with a decoupled modular design pattern in Python, adhering to enterprise software engineering standards and avoiding monolithic scripting. Each core function (KPI calculation, funnel progression, multi-touch attribution, machine learning classification, heuristic leakage detection, scenario forecasting, and PDF compilation) is isolated in a reusable, unit-tested engine module.</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E3A8A"/>
            <w:tcMar>
              <w:top w:w="120" w:type="dxa"/>
              <w:bottom w:w="120" w:type="dxa"/>
              <w:left w:w="150" w:type="dxa"/>
              <w:right w:w="150" w:type="dxa"/>
            </w:tcMar>
          </w:tcPr>
          <w:p>
            <w:r>
              <w:rPr>
                <w:b/>
                <w:color w:val="FFFFFF"/>
              </w:rPr>
              <w:t>Architecture Layer</w:t>
            </w:r>
          </w:p>
        </w:tc>
        <w:tc>
          <w:tcPr>
            <w:tcW w:type="dxa" w:w="3120"/>
            <w:shd w:val="clear" w:color="auto" w:fill="1E3A8A"/>
            <w:tcMar>
              <w:top w:w="120" w:type="dxa"/>
              <w:bottom w:w="120" w:type="dxa"/>
              <w:left w:w="150" w:type="dxa"/>
              <w:right w:w="150" w:type="dxa"/>
            </w:tcMar>
          </w:tcPr>
          <w:p>
            <w:r>
              <w:rPr>
                <w:b/>
                <w:color w:val="FFFFFF"/>
              </w:rPr>
              <w:t>Primary Technology</w:t>
            </w:r>
          </w:p>
        </w:tc>
        <w:tc>
          <w:tcPr>
            <w:tcW w:type="dxa" w:w="3120"/>
            <w:shd w:val="clear" w:color="auto" w:fill="1E3A8A"/>
            <w:tcMar>
              <w:top w:w="120" w:type="dxa"/>
              <w:bottom w:w="120" w:type="dxa"/>
              <w:left w:w="150" w:type="dxa"/>
              <w:right w:w="150" w:type="dxa"/>
            </w:tcMar>
          </w:tcPr>
          <w:p>
            <w:r>
              <w:rPr>
                <w:b/>
                <w:color w:val="FFFFFF"/>
              </w:rPr>
              <w:t>Strategic Capability &amp; Role</w:t>
            </w:r>
          </w:p>
        </w:tc>
      </w:tr>
      <w:tr>
        <w:tc>
          <w:tcPr>
            <w:tcW w:type="dxa" w:w="3120"/>
            <w:shd w:val="clear" w:color="auto" w:fill="F8FAFC"/>
            <w:tcMar>
              <w:top w:w="100" w:type="dxa"/>
              <w:bottom w:w="100" w:type="dxa"/>
              <w:left w:w="140" w:type="dxa"/>
              <w:right w:w="140" w:type="dxa"/>
            </w:tcMar>
          </w:tcPr>
          <w:p>
            <w:pPr>
              <w:spacing w:after="0"/>
            </w:pPr>
            <w:r>
              <w:rPr>
                <w:b/>
              </w:rPr>
              <w:t>Frontend &amp; Dashboard</w:t>
            </w:r>
          </w:p>
        </w:tc>
        <w:tc>
          <w:tcPr>
            <w:tcW w:type="dxa" w:w="3120"/>
            <w:shd w:val="clear" w:color="auto" w:fill="F8FAFC"/>
            <w:tcMar>
              <w:top w:w="100" w:type="dxa"/>
              <w:bottom w:w="100" w:type="dxa"/>
              <w:left w:w="140" w:type="dxa"/>
              <w:right w:w="140" w:type="dxa"/>
            </w:tcMar>
          </w:tcPr>
          <w:p>
            <w:pPr>
              <w:spacing w:after="0"/>
            </w:pPr>
            <w:r>
              <w:t>Streamlit (Modern SaaS layout)</w:t>
            </w:r>
          </w:p>
        </w:tc>
        <w:tc>
          <w:tcPr>
            <w:tcW w:type="dxa" w:w="3120"/>
            <w:shd w:val="clear" w:color="auto" w:fill="F8FAFC"/>
            <w:tcMar>
              <w:top w:w="100" w:type="dxa"/>
              <w:bottom w:w="100" w:type="dxa"/>
              <w:left w:w="140" w:type="dxa"/>
              <w:right w:w="140" w:type="dxa"/>
            </w:tcMar>
          </w:tcPr>
          <w:p>
            <w:pPr>
              <w:spacing w:after="0"/>
            </w:pPr>
            <w:r>
              <w:t>Interactive multi-page UI, session management, dynamic KPI cards, and state persistence.</w:t>
            </w:r>
          </w:p>
        </w:tc>
      </w:tr>
      <w:tr>
        <w:tc>
          <w:tcPr>
            <w:tcW w:type="dxa" w:w="3120"/>
            <w:shd w:val="clear" w:color="auto" w:fill="FFFFFF"/>
            <w:tcMar>
              <w:top w:w="100" w:type="dxa"/>
              <w:bottom w:w="100" w:type="dxa"/>
              <w:left w:w="140" w:type="dxa"/>
              <w:right w:w="140" w:type="dxa"/>
            </w:tcMar>
          </w:tcPr>
          <w:p>
            <w:pPr>
              <w:spacing w:after="0"/>
            </w:pPr>
            <w:r>
              <w:rPr>
                <w:b/>
              </w:rPr>
              <w:t>Data Visualization</w:t>
            </w:r>
          </w:p>
        </w:tc>
        <w:tc>
          <w:tcPr>
            <w:tcW w:type="dxa" w:w="3120"/>
            <w:shd w:val="clear" w:color="auto" w:fill="FFFFFF"/>
            <w:tcMar>
              <w:top w:w="100" w:type="dxa"/>
              <w:bottom w:w="100" w:type="dxa"/>
              <w:left w:w="140" w:type="dxa"/>
              <w:right w:w="140" w:type="dxa"/>
            </w:tcMar>
          </w:tcPr>
          <w:p>
            <w:pPr>
              <w:spacing w:after="0"/>
            </w:pPr>
            <w:r>
              <w:t>Plotly (Go &amp; Express)</w:t>
            </w:r>
          </w:p>
        </w:tc>
        <w:tc>
          <w:tcPr>
            <w:tcW w:type="dxa" w:w="3120"/>
            <w:shd w:val="clear" w:color="auto" w:fill="FFFFFF"/>
            <w:tcMar>
              <w:top w:w="100" w:type="dxa"/>
              <w:bottom w:w="100" w:type="dxa"/>
              <w:left w:w="140" w:type="dxa"/>
              <w:right w:w="140" w:type="dxa"/>
            </w:tcMar>
          </w:tcPr>
          <w:p>
            <w:pPr>
              <w:spacing w:after="0"/>
            </w:pPr>
            <w:r>
              <w:t>Responsive 9-stage funnel charts, bubble quadrant plots, ROC curves, and grouped comparative bars.</w:t>
            </w:r>
          </w:p>
        </w:tc>
      </w:tr>
      <w:tr>
        <w:tc>
          <w:tcPr>
            <w:tcW w:type="dxa" w:w="3120"/>
            <w:shd w:val="clear" w:color="auto" w:fill="F8FAFC"/>
            <w:tcMar>
              <w:top w:w="100" w:type="dxa"/>
              <w:bottom w:w="100" w:type="dxa"/>
              <w:left w:w="140" w:type="dxa"/>
              <w:right w:w="140" w:type="dxa"/>
            </w:tcMar>
          </w:tcPr>
          <w:p>
            <w:pPr>
              <w:spacing w:after="0"/>
            </w:pPr>
            <w:r>
              <w:rPr>
                <w:b/>
              </w:rPr>
              <w:t>Data Science &amp; Modeling</w:t>
            </w:r>
          </w:p>
        </w:tc>
        <w:tc>
          <w:tcPr>
            <w:tcW w:type="dxa" w:w="3120"/>
            <w:shd w:val="clear" w:color="auto" w:fill="F8FAFC"/>
            <w:tcMar>
              <w:top w:w="100" w:type="dxa"/>
              <w:bottom w:w="100" w:type="dxa"/>
              <w:left w:w="140" w:type="dxa"/>
              <w:right w:w="140" w:type="dxa"/>
            </w:tcMar>
          </w:tcPr>
          <w:p>
            <w:pPr>
              <w:spacing w:after="0"/>
            </w:pPr>
            <w:r>
              <w:t>Scikit-learn, Pandas, NumPy</w:t>
            </w:r>
          </w:p>
        </w:tc>
        <w:tc>
          <w:tcPr>
            <w:tcW w:type="dxa" w:w="3120"/>
            <w:shd w:val="clear" w:color="auto" w:fill="F8FAFC"/>
            <w:tcMar>
              <w:top w:w="100" w:type="dxa"/>
              <w:bottom w:w="100" w:type="dxa"/>
              <w:left w:w="140" w:type="dxa"/>
              <w:right w:w="140" w:type="dxa"/>
            </w:tcMar>
          </w:tcPr>
          <w:p>
            <w:pPr>
              <w:spacing w:after="0"/>
            </w:pPr>
            <w:r>
              <w:t>ColumnTransformer pipelines, Logistic Regression, Random Forest, stratified cross-validation, and metrics.</w:t>
            </w:r>
          </w:p>
        </w:tc>
      </w:tr>
      <w:tr>
        <w:tc>
          <w:tcPr>
            <w:tcW w:type="dxa" w:w="3120"/>
            <w:shd w:val="clear" w:color="auto" w:fill="FFFFFF"/>
            <w:tcMar>
              <w:top w:w="100" w:type="dxa"/>
              <w:bottom w:w="100" w:type="dxa"/>
              <w:left w:w="140" w:type="dxa"/>
              <w:right w:w="140" w:type="dxa"/>
            </w:tcMar>
          </w:tcPr>
          <w:p>
            <w:pPr>
              <w:spacing w:after="0"/>
            </w:pPr>
            <w:r>
              <w:rPr>
                <w:b/>
              </w:rPr>
              <w:t>Data Persistence</w:t>
            </w:r>
          </w:p>
        </w:tc>
        <w:tc>
          <w:tcPr>
            <w:tcW w:type="dxa" w:w="3120"/>
            <w:shd w:val="clear" w:color="auto" w:fill="FFFFFF"/>
            <w:tcMar>
              <w:top w:w="100" w:type="dxa"/>
              <w:bottom w:w="100" w:type="dxa"/>
              <w:left w:w="140" w:type="dxa"/>
              <w:right w:w="140" w:type="dxa"/>
            </w:tcMar>
          </w:tcPr>
          <w:p>
            <w:pPr>
              <w:spacing w:after="0"/>
            </w:pPr>
            <w:r>
              <w:t>SQLite3 (Relational DB)</w:t>
            </w:r>
          </w:p>
        </w:tc>
        <w:tc>
          <w:tcPr>
            <w:tcW w:type="dxa" w:w="3120"/>
            <w:shd w:val="clear" w:color="auto" w:fill="FFFFFF"/>
            <w:tcMar>
              <w:top w:w="100" w:type="dxa"/>
              <w:bottom w:w="100" w:type="dxa"/>
              <w:left w:w="140" w:type="dxa"/>
              <w:right w:w="140" w:type="dxa"/>
            </w:tcMar>
          </w:tcPr>
          <w:p>
            <w:pPr>
              <w:spacing w:after="0"/>
            </w:pPr>
            <w:r>
              <w:t>Local relational schema storing campaigns, leads, touchpoint journeys, and closed sales opportunities.</w:t>
            </w:r>
          </w:p>
        </w:tc>
      </w:tr>
      <w:tr>
        <w:tc>
          <w:tcPr>
            <w:tcW w:type="dxa" w:w="3120"/>
            <w:shd w:val="clear" w:color="auto" w:fill="F8FAFC"/>
            <w:tcMar>
              <w:top w:w="100" w:type="dxa"/>
              <w:bottom w:w="100" w:type="dxa"/>
              <w:left w:w="140" w:type="dxa"/>
              <w:right w:w="140" w:type="dxa"/>
            </w:tcMar>
          </w:tcPr>
          <w:p>
            <w:pPr>
              <w:spacing w:after="0"/>
            </w:pPr>
            <w:r>
              <w:rPr>
                <w:b/>
              </w:rPr>
              <w:t>Intelligence &amp; Synthesis</w:t>
            </w:r>
          </w:p>
        </w:tc>
        <w:tc>
          <w:tcPr>
            <w:tcW w:type="dxa" w:w="3120"/>
            <w:shd w:val="clear" w:color="auto" w:fill="F8FAFC"/>
            <w:tcMar>
              <w:top w:w="100" w:type="dxa"/>
              <w:bottom w:w="100" w:type="dxa"/>
              <w:left w:w="140" w:type="dxa"/>
              <w:right w:w="140" w:type="dxa"/>
            </w:tcMar>
          </w:tcPr>
          <w:p>
            <w:pPr>
              <w:spacing w:after="0"/>
            </w:pPr>
            <w:r>
              <w:t>Hybrid Heuristics + OpenAI API</w:t>
            </w:r>
          </w:p>
        </w:tc>
        <w:tc>
          <w:tcPr>
            <w:tcW w:type="dxa" w:w="3120"/>
            <w:shd w:val="clear" w:color="auto" w:fill="F8FAFC"/>
            <w:tcMar>
              <w:top w:w="100" w:type="dxa"/>
              <w:bottom w:w="100" w:type="dxa"/>
              <w:left w:w="140" w:type="dxa"/>
              <w:right w:w="140" w:type="dxa"/>
            </w:tcMar>
          </w:tcPr>
          <w:p>
            <w:pPr>
              <w:spacing w:after="0"/>
            </w:pPr>
            <w:r>
              <w:t>Deterministic 10-point rule engine (100% offline) with optional LLM narrative generation.</w:t>
            </w:r>
          </w:p>
        </w:tc>
      </w:tr>
      <w:tr>
        <w:tc>
          <w:tcPr>
            <w:tcW w:type="dxa" w:w="3120"/>
            <w:shd w:val="clear" w:color="auto" w:fill="FFFFFF"/>
            <w:tcMar>
              <w:top w:w="100" w:type="dxa"/>
              <w:bottom w:w="100" w:type="dxa"/>
              <w:left w:w="140" w:type="dxa"/>
              <w:right w:w="140" w:type="dxa"/>
            </w:tcMar>
          </w:tcPr>
          <w:p>
            <w:pPr>
              <w:spacing w:after="0"/>
            </w:pPr>
            <w:r>
              <w:rPr>
                <w:b/>
              </w:rPr>
              <w:t>Executive Reporting</w:t>
            </w:r>
          </w:p>
        </w:tc>
        <w:tc>
          <w:tcPr>
            <w:tcW w:type="dxa" w:w="3120"/>
            <w:shd w:val="clear" w:color="auto" w:fill="FFFFFF"/>
            <w:tcMar>
              <w:top w:w="100" w:type="dxa"/>
              <w:bottom w:w="100" w:type="dxa"/>
              <w:left w:w="140" w:type="dxa"/>
              <w:right w:w="140" w:type="dxa"/>
            </w:tcMar>
          </w:tcPr>
          <w:p>
            <w:pPr>
              <w:spacing w:after="0"/>
            </w:pPr>
            <w:r>
              <w:t>ReportLab Platypus</w:t>
            </w:r>
          </w:p>
        </w:tc>
        <w:tc>
          <w:tcPr>
            <w:tcW w:type="dxa" w:w="3120"/>
            <w:shd w:val="clear" w:color="auto" w:fill="FFFFFF"/>
            <w:tcMar>
              <w:top w:w="100" w:type="dxa"/>
              <w:bottom w:w="100" w:type="dxa"/>
              <w:left w:w="140" w:type="dxa"/>
              <w:right w:w="140" w:type="dxa"/>
            </w:tcMar>
          </w:tcPr>
          <w:p>
            <w:pPr>
              <w:spacing w:after="0"/>
            </w:pPr>
            <w:r>
              <w:t>Direct compilation of publication-quality C-suite executive briefing PDF documents.</w:t>
            </w:r>
          </w:p>
        </w:tc>
      </w:tr>
      <w:tr>
        <w:tc>
          <w:tcPr>
            <w:tcW w:type="dxa" w:w="3120"/>
            <w:shd w:val="clear" w:color="auto" w:fill="F8FAFC"/>
            <w:tcMar>
              <w:top w:w="100" w:type="dxa"/>
              <w:bottom w:w="100" w:type="dxa"/>
              <w:left w:w="140" w:type="dxa"/>
              <w:right w:w="140" w:type="dxa"/>
            </w:tcMar>
          </w:tcPr>
          <w:p>
            <w:pPr>
              <w:spacing w:after="0"/>
            </w:pPr>
            <w:r>
              <w:rPr>
                <w:b/>
              </w:rPr>
              <w:t>Automated Quality Assur.</w:t>
            </w:r>
          </w:p>
        </w:tc>
        <w:tc>
          <w:tcPr>
            <w:tcW w:type="dxa" w:w="3120"/>
            <w:shd w:val="clear" w:color="auto" w:fill="F8FAFC"/>
            <w:tcMar>
              <w:top w:w="100" w:type="dxa"/>
              <w:bottom w:w="100" w:type="dxa"/>
              <w:left w:w="140" w:type="dxa"/>
              <w:right w:w="140" w:type="dxa"/>
            </w:tcMar>
          </w:tcPr>
          <w:p>
            <w:pPr>
              <w:spacing w:after="0"/>
            </w:pPr>
            <w:r>
              <w:t>Pytest</w:t>
            </w:r>
          </w:p>
        </w:tc>
        <w:tc>
          <w:tcPr>
            <w:tcW w:type="dxa" w:w="3120"/>
            <w:shd w:val="clear" w:color="auto" w:fill="F8FAFC"/>
            <w:tcMar>
              <w:top w:w="100" w:type="dxa"/>
              <w:bottom w:w="100" w:type="dxa"/>
              <w:left w:w="140" w:type="dxa"/>
              <w:right w:w="140" w:type="dxa"/>
            </w:tcMar>
          </w:tcPr>
          <w:p>
            <w:pPr>
              <w:spacing w:after="0"/>
            </w:pPr>
            <w:r>
              <w:t>Automated test suite verifying attribution normalization, zero-division resilience, and data leakage checks.</w:t>
            </w:r>
          </w:p>
        </w:tc>
      </w:tr>
    </w:tbl>
    <w:p>
      <w:pPr>
        <w:spacing w:after="120"/>
      </w:pPr>
    </w:p>
    <w:p>
      <w:pPr>
        <w:keepNext/>
        <w:spacing w:before="360" w:after="120"/>
      </w:pPr>
      <w:r>
        <w:rPr>
          <w:rFonts w:ascii="Helvetica" w:hAnsi="Helvetica"/>
          <w:b/>
          <w:color w:val="1E3A8A"/>
          <w:sz w:val="32"/>
        </w:rPr>
        <w:t>3. Core Modules &amp; Strategic Capabilities</w:t>
      </w:r>
    </w:p>
    <w:p>
      <w:pPr>
        <w:keepNext/>
        <w:spacing w:before="280" w:after="80"/>
      </w:pPr>
      <w:r>
        <w:rPr>
          <w:rFonts w:ascii="Helvetica" w:hAnsi="Helvetica"/>
          <w:b/>
          <w:color w:val="2563EB"/>
          <w:sz w:val="26"/>
        </w:rPr>
        <w:t>Module 1: Executive Dashboard</w:t>
      </w:r>
    </w:p>
    <w:p>
      <w:r>
        <w:t>The Executive Dashboard acts as the primary cockpit for commercial leadership. It visualizes 15 mission-critical marketing and revenue KPIs, including Total Spend, Attributed Revenue, Return on Ad Spend (ROAS), Marketing ROI, Average Deal Value (ACV), Cost Per Lead (CPL), Customer Acquisition Cost (CAC), and Lead-to-Customer Conversion Rate.</w:t>
      </w:r>
    </w:p>
    <w:p>
      <w:r>
        <w:t>A key innovation is the automated Period-over-Period Delta Engine, which splits filtered chronological data into equal halves and computes exact percentage gains or declines with directional color-coding (green for positive revenue growth, red for CAC inflation). Global multi-dimensional filters allow executives to slice metrics simultaneously by Date Range, Marketing Channel, Campaign, Customer Industry Segment, and Campaign Objective.</w:t>
      </w:r>
    </w:p>
    <w:p>
      <w:pPr>
        <w:keepNext/>
        <w:spacing w:before="280" w:after="80"/>
      </w:pPr>
      <w:r>
        <w:rPr>
          <w:rFonts w:ascii="Helvetica" w:hAnsi="Helvetica"/>
          <w:b/>
          <w:color w:val="2563EB"/>
          <w:sz w:val="26"/>
        </w:rPr>
        <w:t>Module 2: Customer Journey &amp; 9-Stage Marketing Funnel</w:t>
      </w:r>
    </w:p>
    <w:p>
      <w:r>
        <w:t>Rather than treating marketing and sales as disconnected silos, Module 2 models a cohesive 9-stage conversion funnel:</w:t>
        <w:br/>
        <w:t>1. Impressions → 2. Ad Clicks → 3. Website Visits → 4. Leads Generated → 5. Marketing-Qualified (MQL) → 6. Sales-Qualified (SQL) → 7. Sales Opportunities → 8. Closed-Won Customers → 9. Attributed Revenue.</w:t>
      </w:r>
    </w:p>
    <w:p>
      <w:r>
        <w:t>For every stage transition, the engine calculates: (a) raw volume, (b) conversion rate from the preceding stage, (c) drop-off percentage, (d) lost prospects count, and (e) Estimated Lost Revenue Opportunity. The lost revenue metric mathematically models the pipeline value that would have materialized had the lost prospects converted at the historical downstream win probability, highlighting the exact stage inflicting the largest economic damage.</w:t>
      </w:r>
    </w:p>
    <w:p>
      <w:pPr>
        <w:keepNext/>
        <w:spacing w:before="280" w:after="80"/>
      </w:pPr>
      <w:r>
        <w:rPr>
          <w:rFonts w:ascii="Helvetica" w:hAnsi="Helvetica"/>
          <w:b/>
          <w:color w:val="2563EB"/>
          <w:sz w:val="26"/>
        </w:rPr>
        <w:t>Module 3: Multi-Touch Marketing Attribution Engine</w:t>
      </w:r>
    </w:p>
    <w:p>
      <w:r>
        <w:t>Single-touch attribution (such as Last-Click) severely distorts marketing budget decisions by giving 100% of the credit to whichever channel was touched immediately before conversion, completely ignoring upper-funnel discovery channels. RevenueLens AI implements five transparent mathematical attribution models:</w:t>
      </w:r>
    </w:p>
    <w:p>
      <w:r>
        <w:t>• First-Touch: 100% credit to the earliest discovery interaction (highlights awareness drivers like Organic &amp; Meta Display).</w:t>
        <w:br/>
        <w:t>• Last-Touch: 100% credit to the final recorded marketing touchpoint prior to deal creation (favors search and direct email).</w:t>
        <w:br/>
        <w:t>• Linear: Uniform 1/N credit distributed equally across all recorded buyer journey touchpoints.</w:t>
        <w:br/>
        <w:t>• Position-Based (U-Shaped): 40% credit to the first touch, 40% to the lead conversion touch, and 20% distributed across intermediate nurture steps.</w:t>
        <w:br/>
        <w:t>• Time-Decay: Exponential half-life weighting: w_i = 2^(-Δt / 7 days), weighting recent touches higher while crediting earlier touches.</w:t>
      </w:r>
    </w:p>
    <w:p>
      <w:r>
        <w:t>Crucially, the attribution engine enforces strict normalization: the sum of weights for each customer journey is guaranteed to equal 1.0, ensuring that the total attributed revenue across channels exactly matches audited closed sales revenue.</w:t>
      </w:r>
    </w:p>
    <w:p>
      <w:pPr>
        <w:keepNext/>
        <w:spacing w:before="280" w:after="80"/>
      </w:pPr>
      <w:r>
        <w:rPr>
          <w:rFonts w:ascii="Helvetica" w:hAnsi="Helvetica"/>
          <w:b/>
          <w:color w:val="2563EB"/>
          <w:sz w:val="26"/>
        </w:rPr>
        <w:t>Module 4: Campaign Performance &amp; Strategic Quadrants</w:t>
      </w:r>
    </w:p>
    <w:p>
      <w:r>
        <w:t>Module 4 evaluates campaign effectiveness across Google Ads, Meta Ads, LinkedIn Ads, Email Marketing, Organic Search, Content Marketing, and Referral Programs. Beyond computing CPL and CAC, the system introduces a proprietary MBA Strategic Marketing Quadrant classification:</w:t>
      </w:r>
    </w:p>
    <w:p>
      <w:r>
        <w:t>1. Vanity Trap (High Lead Volume, Low Conversion): Campaigns that produce large lead volumes at deceptive CPLs, but yield negligible customers.</w:t>
        <w:br/>
        <w:t>2. Hidden Gem (Low Volume, High Intent &amp; High ROI): Campaigns with modest volume but high lead scores, quick sales cycles, and stellar ROAS.</w:t>
        <w:br/>
        <w:t>3. Money Pit (High Spend, Severe Negative ROI): Significant capital expenditures with inadequate pipeline contribution; primary candidates for budget pruning.</w:t>
        <w:br/>
        <w:t>4. Scale Candidate (Top Performer): Robust volume, high qualification rates, and positive unit economics; primary destination for expanded capital allocation.</w:t>
      </w:r>
    </w:p>
    <w:p>
      <w:pPr>
        <w:keepNext/>
        <w:spacing w:before="280" w:after="80"/>
      </w:pPr>
      <w:r>
        <w:rPr>
          <w:rFonts w:ascii="Helvetica" w:hAnsi="Helvetica"/>
          <w:b/>
          <w:color w:val="2563EB"/>
          <w:sz w:val="26"/>
        </w:rPr>
        <w:t>Module 5: Lead Intelligence &amp; Machine Learning Engine</w:t>
      </w:r>
    </w:p>
    <w:p>
      <w:r>
        <w:t>To understand why leads fail to convert, Module 5 trains supervised machine learning classification models (Logistic Regression and Random Forest). The predictive pipeline incorporates rigorous Data Leakage Prevention by strictly excluding all post-conversion sales outcome attributes (such as sales stage, close date, deal value, or opportunity ID) from the feature matrix.</w:t>
      </w:r>
    </w:p>
    <w:p>
      <w:r>
        <w:t>The model is evaluated using stratified 75/25 train/test splits, reporting Accuracy, Precision, Recall, F1-Score, Confusion Matrices, and ROC-AUC curves. Feature importance analysis isolates the primary drivers of win probability (e.g., Lead Score and Follow-Up Response Time). The module also includes an interactive real-time Lead Scorer that assigns incoming leads to High (&gt;65%), Medium (35-65%), or Low (&lt;35%) conversion tiers with automated SDR routing recommendations.</w:t>
      </w:r>
    </w:p>
    <w:p>
      <w:pPr>
        <w:keepNext/>
        <w:spacing w:before="280" w:after="80"/>
      </w:pPr>
      <w:r>
        <w:rPr>
          <w:rFonts w:ascii="Helvetica" w:hAnsi="Helvetica"/>
          <w:b/>
          <w:color w:val="2563EB"/>
          <w:sz w:val="26"/>
        </w:rPr>
        <w:t>Module 6: AI-Powered Revenue Leakage Detection &amp; Reporting</w:t>
      </w:r>
    </w:p>
    <w:p>
      <w:r>
        <w:t>Module 6 acts as an automated management consultant. A transparent heuristic rules engine scans the marketing and sales datasets for 10 distinct commercial leakage patterns, including: (1) Lead Bloat without conversion, (2) Capital Bleed / negative ROAS, (3) MQL-to-SQL qualification bottlenecks, (4) Speed-to-lead follow-up latency (&gt;24-48 hours), (5) High revenue concentration risk, and (6) Volume vs. Value divergence.</w:t>
      </w:r>
    </w:p>
    <w:p>
      <w:r>
        <w:t>Each detected issue is reported with: Problem Identified, Empirical Evidence &amp; Metrics, Likely Contributing Factors, Business Impact, Recommended Corrective Action, Priority Level (High/Med/Low), and Key KPI to Monitor. The module operates via dual synthesis: a 100% offline deterministic narrative engine, plus an optional OpenAI LLM integration. It also features a one-click ReportLab generator that compiles a C-suite ready PDF executive brief.</w:t>
      </w:r>
    </w:p>
    <w:p>
      <w:pPr>
        <w:keepNext/>
        <w:spacing w:before="280" w:after="80"/>
      </w:pPr>
      <w:r>
        <w:rPr>
          <w:rFonts w:ascii="Helvetica" w:hAnsi="Helvetica"/>
          <w:b/>
          <w:color w:val="2563EB"/>
          <w:sz w:val="26"/>
        </w:rPr>
        <w:t>Module 7: What-If Revenue Scenario Simulator</w:t>
      </w:r>
    </w:p>
    <w:p>
      <w:r>
        <w:t>The Scenario Simulator enables executive what-if financial modeling. Leadership can manipulate strategic levers—such as scaling overall marketing budget, reallocating capital to top-ROAS channels, reducing CPL through form optimization, boosting qualification rates, accelerating sales win rates, or expanding average deal size.</w:t>
      </w:r>
    </w:p>
    <w:p>
      <w:r>
        <w:t>The simulation engine calculates the projected impact on Leads Generated, Closed Customers, Attributed Revenue, CAC, ROAS, and Net Profit. Calculations maintain strict mathematical consistency, preventing double-counting improvements across sequential funnel stages and presenting baseline-versus-scenario comparative ledgers.</w:t>
      </w:r>
    </w:p>
    <w:p>
      <w:pPr>
        <w:keepNext/>
        <w:spacing w:before="280" w:after="80"/>
      </w:pPr>
      <w:r>
        <w:rPr>
          <w:rFonts w:ascii="Helvetica" w:hAnsi="Helvetica"/>
          <w:b/>
          <w:color w:val="2563EB"/>
          <w:sz w:val="26"/>
        </w:rPr>
        <w:t>Module 8 &amp; 9: Data Governance, Upload &amp; Methodology</w:t>
      </w:r>
    </w:p>
    <w:p>
      <w:r>
        <w:t>Module 8 provides an enterprise data management portal supporting CSV and Excel uploads for Campaigns, Leads, Customer Journey, and Sales datasets. Uploaded files undergo rigorous schema validation, type parsing, negative-value detection, and referential integrity checks. Data is persisted to SQLite, with sample benchmark resets and downloadable clean templates available.</w:t>
      </w:r>
    </w:p>
    <w:p>
      <w:r>
        <w:t>Module 9 establishes academic governance, documenting all mathematical formulas, attribution algorithms, machine learning validation practices, and explicit analytical disclaimers distinguishing statistical correlation from causal incrementality.</w:t>
      </w:r>
    </w:p>
    <w:p>
      <w:pPr>
        <w:keepNext/>
        <w:spacing w:before="360" w:after="120"/>
      </w:pPr>
      <w:r>
        <w:rPr>
          <w:rFonts w:ascii="Helvetica" w:hAnsi="Helvetica"/>
          <w:b/>
          <w:color w:val="1E3A8A"/>
          <w:sz w:val="32"/>
        </w:rPr>
        <w:t>4. Key Empirical Findings &amp; Strategic Insights</w:t>
      </w:r>
    </w:p>
    <w:p>
      <w:r>
        <w:t>Analysis of the benchmark multi-channel marketing dataset generated by RevenueLens AI revealed three profound commercial insights directly applicable to executive growth strategy:</w:t>
      </w:r>
    </w:p>
    <w:p>
      <w:r>
        <w:t>1. The Meta Lead Gen 'Vanity Trap':</w:t>
        <w:br/>
        <w:t>Campaign CMP-003 ('Meta Broad Lead Gen Form') generated the single highest volume of leads in the portfolio (580 leads, representing over 28% of all leads captured) at a very attractive Cost Per Lead of $65.95. However, due to minimal qualification friction on the form, leads averaged a low lead score (38/100). Only 18 closed deals materialized, yielding an anemic conversion rate of 3.10% and an ROAS of only 0.82x (a net financial loss of $6,850). The channel created the illusion of marketing productivity while draining sales capacity.</w:t>
      </w:r>
    </w:p>
    <w:p>
      <w:r>
        <w:t>2. The Google Search BOFU 'Hidden Gem':</w:t>
        <w:br/>
        <w:t>Conversely, Campaign CMP-001 ('Google Search High Intent BOFU') exhibited a much higher nominal CPL of $111.54, generating only 260 leads. However, because these prospects were searching with high commercial purchase intent, they exhibited an average lead score of 78/100. This campaign produced 64 closed customers (24.62% conversion rate) and $114,200 in recognized revenue, generating a dominant ROAS of 3.94x and an ROI of +293.8%.</w:t>
      </w:r>
    </w:p>
    <w:p>
      <w:r>
        <w:t>3. Speed-to-Lead Follow-Up Latency Decays Win Rates by Over 60%:</w:t>
        <w:br/>
        <w:t>Machine learning feature importance analysis identified SDR Follow-Up Response Time as a top predictor of deal conversion. Leads contacted within 4 hours achieved an average conversion rate of 28.4%, whereas leads contacted after 24 hours experienced a precipitous drop to 10.6% win rate—a 62.7% decay in inbound marketing ROI caused purely by sales latency.</w:t>
      </w:r>
    </w:p>
    <w:p>
      <w:pPr>
        <w:keepNext/>
        <w:spacing w:before="360" w:after="120"/>
      </w:pPr>
      <w:r>
        <w:rPr>
          <w:rFonts w:ascii="Helvetica" w:hAnsi="Helvetica"/>
          <w:b/>
          <w:color w:val="1E3A8A"/>
          <w:sz w:val="32"/>
        </w:rPr>
        <w:t>5. Prioritized 30/60/90-Day Strategic Roadmap</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E3A8A"/>
            <w:tcMar>
              <w:top w:w="120" w:type="dxa"/>
              <w:bottom w:w="120" w:type="dxa"/>
              <w:left w:w="150" w:type="dxa"/>
              <w:right w:w="150" w:type="dxa"/>
            </w:tcMar>
          </w:tcPr>
          <w:p>
            <w:r>
              <w:rPr>
                <w:b/>
                <w:color w:val="FFFFFF"/>
              </w:rPr>
              <w:t>Horizon</w:t>
            </w:r>
          </w:p>
        </w:tc>
        <w:tc>
          <w:tcPr>
            <w:tcW w:type="dxa" w:w="2340"/>
            <w:shd w:val="clear" w:color="auto" w:fill="1E3A8A"/>
            <w:tcMar>
              <w:top w:w="120" w:type="dxa"/>
              <w:bottom w:w="120" w:type="dxa"/>
              <w:left w:w="150" w:type="dxa"/>
              <w:right w:w="150" w:type="dxa"/>
            </w:tcMar>
          </w:tcPr>
          <w:p>
            <w:r>
              <w:rPr>
                <w:b/>
                <w:color w:val="FFFFFF"/>
              </w:rPr>
              <w:t>Priority</w:t>
            </w:r>
          </w:p>
        </w:tc>
        <w:tc>
          <w:tcPr>
            <w:tcW w:type="dxa" w:w="2340"/>
            <w:shd w:val="clear" w:color="auto" w:fill="1E3A8A"/>
            <w:tcMar>
              <w:top w:w="120" w:type="dxa"/>
              <w:bottom w:w="120" w:type="dxa"/>
              <w:left w:w="150" w:type="dxa"/>
              <w:right w:w="150" w:type="dxa"/>
            </w:tcMar>
          </w:tcPr>
          <w:p>
            <w:r>
              <w:rPr>
                <w:b/>
                <w:color w:val="FFFFFF"/>
              </w:rPr>
              <w:t>Recommended Strategic Action</w:t>
            </w:r>
          </w:p>
        </w:tc>
        <w:tc>
          <w:tcPr>
            <w:tcW w:type="dxa" w:w="2340"/>
            <w:shd w:val="clear" w:color="auto" w:fill="1E3A8A"/>
            <w:tcMar>
              <w:top w:w="120" w:type="dxa"/>
              <w:bottom w:w="120" w:type="dxa"/>
              <w:left w:w="150" w:type="dxa"/>
              <w:right w:w="150" w:type="dxa"/>
            </w:tcMar>
          </w:tcPr>
          <w:p>
            <w:r>
              <w:rPr>
                <w:b/>
                <w:color w:val="FFFFFF"/>
              </w:rPr>
              <w:t>Key Performance Indicator</w:t>
            </w:r>
          </w:p>
        </w:tc>
      </w:tr>
      <w:tr>
        <w:tc>
          <w:tcPr>
            <w:tcW w:type="dxa" w:w="2340"/>
            <w:shd w:val="clear" w:color="auto" w:fill="F8FAFC"/>
            <w:tcMar>
              <w:top w:w="100" w:type="dxa"/>
              <w:bottom w:w="100" w:type="dxa"/>
              <w:left w:w="140" w:type="dxa"/>
              <w:right w:w="140" w:type="dxa"/>
            </w:tcMar>
          </w:tcPr>
          <w:p>
            <w:pPr>
              <w:spacing w:after="0"/>
            </w:pPr>
            <w:r>
              <w:t>Immediate (0 - 30 Days)</w:t>
            </w:r>
          </w:p>
        </w:tc>
        <w:tc>
          <w:tcPr>
            <w:tcW w:type="dxa" w:w="2340"/>
            <w:shd w:val="clear" w:color="auto" w:fill="F8FAFC"/>
            <w:tcMar>
              <w:top w:w="100" w:type="dxa"/>
              <w:bottom w:w="100" w:type="dxa"/>
              <w:left w:w="140" w:type="dxa"/>
              <w:right w:w="140" w:type="dxa"/>
            </w:tcMar>
          </w:tcPr>
          <w:p>
            <w:pPr>
              <w:spacing w:after="0"/>
            </w:pPr>
            <w:r>
              <w:rPr>
                <w:b/>
                <w:color w:val="B91C1C"/>
              </w:rPr>
              <w:t>HIGH</w:t>
            </w:r>
          </w:p>
        </w:tc>
        <w:tc>
          <w:tcPr>
            <w:tcW w:type="dxa" w:w="2340"/>
            <w:shd w:val="clear" w:color="auto" w:fill="F8FAFC"/>
            <w:tcMar>
              <w:top w:w="100" w:type="dxa"/>
              <w:bottom w:w="100" w:type="dxa"/>
              <w:left w:w="140" w:type="dxa"/>
              <w:right w:w="140" w:type="dxa"/>
            </w:tcMar>
          </w:tcPr>
          <w:p>
            <w:pPr>
              <w:spacing w:after="0"/>
            </w:pPr>
            <w:r>
              <w:t>Reallocate 30% of marketing budget from Meta Broad Lead Gen to Google Search BOFU and Referral Programs.</w:t>
            </w:r>
          </w:p>
        </w:tc>
        <w:tc>
          <w:tcPr>
            <w:tcW w:type="dxa" w:w="2340"/>
            <w:shd w:val="clear" w:color="auto" w:fill="F8FAFC"/>
            <w:tcMar>
              <w:top w:w="100" w:type="dxa"/>
              <w:bottom w:w="100" w:type="dxa"/>
              <w:left w:w="140" w:type="dxa"/>
              <w:right w:w="140" w:type="dxa"/>
            </w:tcMar>
          </w:tcPr>
          <w:p>
            <w:pPr>
              <w:spacing w:after="0"/>
            </w:pPr>
            <w:r>
              <w:t>Blended Portfolio ROAS</w:t>
            </w:r>
          </w:p>
        </w:tc>
      </w:tr>
      <w:tr>
        <w:tc>
          <w:tcPr>
            <w:tcW w:type="dxa" w:w="2340"/>
            <w:shd w:val="clear" w:color="auto" w:fill="FFFFFF"/>
            <w:tcMar>
              <w:top w:w="100" w:type="dxa"/>
              <w:bottom w:w="100" w:type="dxa"/>
              <w:left w:w="140" w:type="dxa"/>
              <w:right w:w="140" w:type="dxa"/>
            </w:tcMar>
          </w:tcPr>
          <w:p>
            <w:pPr>
              <w:spacing w:after="0"/>
            </w:pPr>
            <w:r>
              <w:t>Immediate (0 - 30 Days)</w:t>
            </w:r>
          </w:p>
        </w:tc>
        <w:tc>
          <w:tcPr>
            <w:tcW w:type="dxa" w:w="2340"/>
            <w:shd w:val="clear" w:color="auto" w:fill="FFFFFF"/>
            <w:tcMar>
              <w:top w:w="100" w:type="dxa"/>
              <w:bottom w:w="100" w:type="dxa"/>
              <w:left w:w="140" w:type="dxa"/>
              <w:right w:w="140" w:type="dxa"/>
            </w:tcMar>
          </w:tcPr>
          <w:p>
            <w:pPr>
              <w:spacing w:after="0"/>
            </w:pPr>
            <w:r>
              <w:rPr>
                <w:b/>
                <w:color w:val="B91C1C"/>
              </w:rPr>
              <w:t>HIGH</w:t>
            </w:r>
          </w:p>
        </w:tc>
        <w:tc>
          <w:tcPr>
            <w:tcW w:type="dxa" w:w="2340"/>
            <w:shd w:val="clear" w:color="auto" w:fill="FFFFFF"/>
            <w:tcMar>
              <w:top w:w="100" w:type="dxa"/>
              <w:bottom w:w="100" w:type="dxa"/>
              <w:left w:w="140" w:type="dxa"/>
              <w:right w:w="140" w:type="dxa"/>
            </w:tcMar>
          </w:tcPr>
          <w:p>
            <w:pPr>
              <w:spacing w:after="0"/>
            </w:pPr>
            <w:r>
              <w:t>Enforce strict SDR Follow-up SLA: require outbound call/email within &lt; 2 hours for high-intent leads.</w:t>
            </w:r>
          </w:p>
        </w:tc>
        <w:tc>
          <w:tcPr>
            <w:tcW w:type="dxa" w:w="2340"/>
            <w:shd w:val="clear" w:color="auto" w:fill="FFFFFF"/>
            <w:tcMar>
              <w:top w:w="100" w:type="dxa"/>
              <w:bottom w:w="100" w:type="dxa"/>
              <w:left w:w="140" w:type="dxa"/>
              <w:right w:w="140" w:type="dxa"/>
            </w:tcMar>
          </w:tcPr>
          <w:p>
            <w:pPr>
              <w:spacing w:after="0"/>
            </w:pPr>
            <w:r>
              <w:t>Median Time-to-First-Touch</w:t>
            </w:r>
          </w:p>
        </w:tc>
      </w:tr>
      <w:tr>
        <w:tc>
          <w:tcPr>
            <w:tcW w:type="dxa" w:w="2340"/>
            <w:shd w:val="clear" w:color="auto" w:fill="F8FAFC"/>
            <w:tcMar>
              <w:top w:w="100" w:type="dxa"/>
              <w:bottom w:w="100" w:type="dxa"/>
              <w:left w:w="140" w:type="dxa"/>
              <w:right w:w="140" w:type="dxa"/>
            </w:tcMar>
          </w:tcPr>
          <w:p>
            <w:pPr>
              <w:spacing w:after="0"/>
            </w:pPr>
            <w:r>
              <w:t>Immediate (0 - 30 Days)</w:t>
            </w:r>
          </w:p>
        </w:tc>
        <w:tc>
          <w:tcPr>
            <w:tcW w:type="dxa" w:w="2340"/>
            <w:shd w:val="clear" w:color="auto" w:fill="F8FAFC"/>
            <w:tcMar>
              <w:top w:w="100" w:type="dxa"/>
              <w:bottom w:w="100" w:type="dxa"/>
              <w:left w:w="140" w:type="dxa"/>
              <w:right w:w="140" w:type="dxa"/>
            </w:tcMar>
          </w:tcPr>
          <w:p>
            <w:pPr>
              <w:spacing w:after="0"/>
            </w:pPr>
            <w:r>
              <w:rPr>
                <w:b/>
                <w:color w:val="B91C1C"/>
              </w:rPr>
              <w:t>HIGH</w:t>
            </w:r>
          </w:p>
        </w:tc>
        <w:tc>
          <w:tcPr>
            <w:tcW w:type="dxa" w:w="2340"/>
            <w:shd w:val="clear" w:color="auto" w:fill="F8FAFC"/>
            <w:tcMar>
              <w:top w:w="100" w:type="dxa"/>
              <w:bottom w:w="100" w:type="dxa"/>
              <w:left w:w="140" w:type="dxa"/>
              <w:right w:w="140" w:type="dxa"/>
            </w:tcMar>
          </w:tcPr>
          <w:p>
            <w:pPr>
              <w:spacing w:after="0"/>
            </w:pPr>
            <w:r>
              <w:t>Add qualifying friction fields (Business Email, Company Size, Budget) to top-of-funnel web forms.</w:t>
            </w:r>
          </w:p>
        </w:tc>
        <w:tc>
          <w:tcPr>
            <w:tcW w:type="dxa" w:w="2340"/>
            <w:shd w:val="clear" w:color="auto" w:fill="F8FAFC"/>
            <w:tcMar>
              <w:top w:w="100" w:type="dxa"/>
              <w:bottom w:w="100" w:type="dxa"/>
              <w:left w:w="140" w:type="dxa"/>
              <w:right w:w="140" w:type="dxa"/>
            </w:tcMar>
          </w:tcPr>
          <w:p>
            <w:pPr>
              <w:spacing w:after="0"/>
            </w:pPr>
            <w:r>
              <w:t>MQL-to-SQL Acceptance Rate</w:t>
            </w:r>
          </w:p>
        </w:tc>
      </w:tr>
      <w:tr>
        <w:tc>
          <w:tcPr>
            <w:tcW w:type="dxa" w:w="2340"/>
            <w:shd w:val="clear" w:color="auto" w:fill="FFFFFF"/>
            <w:tcMar>
              <w:top w:w="100" w:type="dxa"/>
              <w:bottom w:w="100" w:type="dxa"/>
              <w:left w:w="140" w:type="dxa"/>
              <w:right w:w="140" w:type="dxa"/>
            </w:tcMar>
          </w:tcPr>
          <w:p>
            <w:pPr>
              <w:spacing w:after="0"/>
            </w:pPr>
            <w:r>
              <w:t>Medium-Term (30 - 60 Days)</w:t>
            </w:r>
          </w:p>
        </w:tc>
        <w:tc>
          <w:tcPr>
            <w:tcW w:type="dxa" w:w="2340"/>
            <w:shd w:val="clear" w:color="auto" w:fill="FFFFFF"/>
            <w:tcMar>
              <w:top w:w="100" w:type="dxa"/>
              <w:bottom w:w="100" w:type="dxa"/>
              <w:left w:w="140" w:type="dxa"/>
              <w:right w:w="140" w:type="dxa"/>
            </w:tcMar>
          </w:tcPr>
          <w:p>
            <w:pPr>
              <w:spacing w:after="0"/>
            </w:pPr>
            <w:r>
              <w:t>MEDIUM</w:t>
            </w:r>
          </w:p>
        </w:tc>
        <w:tc>
          <w:tcPr>
            <w:tcW w:type="dxa" w:w="2340"/>
            <w:shd w:val="clear" w:color="auto" w:fill="FFFFFF"/>
            <w:tcMar>
              <w:top w:w="100" w:type="dxa"/>
              <w:bottom w:w="100" w:type="dxa"/>
              <w:left w:w="140" w:type="dxa"/>
              <w:right w:w="140" w:type="dxa"/>
            </w:tcMar>
          </w:tcPr>
          <w:p>
            <w:pPr>
              <w:spacing w:after="0"/>
            </w:pPr>
            <w:r>
              <w:t>Deploy automated Machine Learning lead scoring in CRM to route High-Tier (&gt;65% prob) leads to Senior AEs.</w:t>
            </w:r>
          </w:p>
        </w:tc>
        <w:tc>
          <w:tcPr>
            <w:tcW w:type="dxa" w:w="2340"/>
            <w:shd w:val="clear" w:color="auto" w:fill="FFFFFF"/>
            <w:tcMar>
              <w:top w:w="100" w:type="dxa"/>
              <w:bottom w:w="100" w:type="dxa"/>
              <w:left w:w="140" w:type="dxa"/>
              <w:right w:w="140" w:type="dxa"/>
            </w:tcMar>
          </w:tcPr>
          <w:p>
            <w:pPr>
              <w:spacing w:after="0"/>
            </w:pPr>
            <w:r>
              <w:t>High-Tier Opportunity Win Rate</w:t>
            </w:r>
          </w:p>
        </w:tc>
      </w:tr>
      <w:tr>
        <w:tc>
          <w:tcPr>
            <w:tcW w:type="dxa" w:w="2340"/>
            <w:shd w:val="clear" w:color="auto" w:fill="F8FAFC"/>
            <w:tcMar>
              <w:top w:w="100" w:type="dxa"/>
              <w:bottom w:w="100" w:type="dxa"/>
              <w:left w:w="140" w:type="dxa"/>
              <w:right w:w="140" w:type="dxa"/>
            </w:tcMar>
          </w:tcPr>
          <w:p>
            <w:pPr>
              <w:spacing w:after="0"/>
            </w:pPr>
            <w:r>
              <w:t>Medium-Term (30 - 60 Days)</w:t>
            </w:r>
          </w:p>
        </w:tc>
        <w:tc>
          <w:tcPr>
            <w:tcW w:type="dxa" w:w="2340"/>
            <w:shd w:val="clear" w:color="auto" w:fill="F8FAFC"/>
            <w:tcMar>
              <w:top w:w="100" w:type="dxa"/>
              <w:bottom w:w="100" w:type="dxa"/>
              <w:left w:w="140" w:type="dxa"/>
              <w:right w:w="140" w:type="dxa"/>
            </w:tcMar>
          </w:tcPr>
          <w:p>
            <w:pPr>
              <w:spacing w:after="0"/>
            </w:pPr>
            <w:r>
              <w:t>MEDIUM</w:t>
            </w:r>
          </w:p>
        </w:tc>
        <w:tc>
          <w:tcPr>
            <w:tcW w:type="dxa" w:w="2340"/>
            <w:shd w:val="clear" w:color="auto" w:fill="F8FAFC"/>
            <w:tcMar>
              <w:top w:w="100" w:type="dxa"/>
              <w:bottom w:w="100" w:type="dxa"/>
              <w:left w:w="140" w:type="dxa"/>
              <w:right w:w="140" w:type="dxa"/>
            </w:tcMar>
          </w:tcPr>
          <w:p>
            <w:pPr>
              <w:spacing w:after="0"/>
            </w:pPr>
            <w:r>
              <w:t>Implement structured email nurture tracks for Medium-Tier leads instead of burning SDR capacity.</w:t>
            </w:r>
          </w:p>
        </w:tc>
        <w:tc>
          <w:tcPr>
            <w:tcW w:type="dxa" w:w="2340"/>
            <w:shd w:val="clear" w:color="auto" w:fill="F8FAFC"/>
            <w:tcMar>
              <w:top w:w="100" w:type="dxa"/>
              <w:bottom w:w="100" w:type="dxa"/>
              <w:left w:w="140" w:type="dxa"/>
              <w:right w:w="140" w:type="dxa"/>
            </w:tcMar>
          </w:tcPr>
          <w:p>
            <w:pPr>
              <w:spacing w:after="0"/>
            </w:pPr>
            <w:r>
              <w:t>SDR Pipeline Productivity</w:t>
            </w:r>
          </w:p>
        </w:tc>
      </w:tr>
      <w:tr>
        <w:tc>
          <w:tcPr>
            <w:tcW w:type="dxa" w:w="2340"/>
            <w:shd w:val="clear" w:color="auto" w:fill="FFFFFF"/>
            <w:tcMar>
              <w:top w:w="100" w:type="dxa"/>
              <w:bottom w:w="100" w:type="dxa"/>
              <w:left w:w="140" w:type="dxa"/>
              <w:right w:w="140" w:type="dxa"/>
            </w:tcMar>
          </w:tcPr>
          <w:p>
            <w:pPr>
              <w:spacing w:after="0"/>
            </w:pPr>
            <w:r>
              <w:t>Strategic (60 - 90 Days)</w:t>
            </w:r>
          </w:p>
        </w:tc>
        <w:tc>
          <w:tcPr>
            <w:tcW w:type="dxa" w:w="2340"/>
            <w:shd w:val="clear" w:color="auto" w:fill="FFFFFF"/>
            <w:tcMar>
              <w:top w:w="100" w:type="dxa"/>
              <w:bottom w:w="100" w:type="dxa"/>
              <w:left w:w="140" w:type="dxa"/>
              <w:right w:w="140" w:type="dxa"/>
            </w:tcMar>
          </w:tcPr>
          <w:p>
            <w:pPr>
              <w:spacing w:after="0"/>
            </w:pPr>
            <w:r>
              <w:t>MEDIUM</w:t>
            </w:r>
          </w:p>
        </w:tc>
        <w:tc>
          <w:tcPr>
            <w:tcW w:type="dxa" w:w="2340"/>
            <w:shd w:val="clear" w:color="auto" w:fill="FFFFFF"/>
            <w:tcMar>
              <w:top w:w="100" w:type="dxa"/>
              <w:bottom w:w="100" w:type="dxa"/>
              <w:left w:w="140" w:type="dxa"/>
              <w:right w:w="140" w:type="dxa"/>
            </w:tcMar>
          </w:tcPr>
          <w:p>
            <w:pPr>
              <w:spacing w:after="0"/>
            </w:pPr>
            <w:r>
              <w:t>Transition executive board reporting from Last-Touch attribution to Position-Based (U-Shaped) attribution.</w:t>
            </w:r>
          </w:p>
        </w:tc>
        <w:tc>
          <w:tcPr>
            <w:tcW w:type="dxa" w:w="2340"/>
            <w:shd w:val="clear" w:color="auto" w:fill="FFFFFF"/>
            <w:tcMar>
              <w:top w:w="100" w:type="dxa"/>
              <w:bottom w:w="100" w:type="dxa"/>
              <w:left w:w="140" w:type="dxa"/>
              <w:right w:w="140" w:type="dxa"/>
            </w:tcMar>
          </w:tcPr>
          <w:p>
            <w:pPr>
              <w:spacing w:after="0"/>
            </w:pPr>
            <w:r>
              <w:t>Cross-Channel Budget Efficiency</w:t>
            </w:r>
          </w:p>
        </w:tc>
      </w:tr>
    </w:tbl>
    <w:p>
      <w:pPr>
        <w:spacing w:after="240"/>
      </w:pPr>
    </w:p>
    <w:p>
      <w:pPr>
        <w:keepNext/>
        <w:spacing w:before="360" w:after="120"/>
      </w:pPr>
      <w:r>
        <w:rPr>
          <w:rFonts w:ascii="Helvetica" w:hAnsi="Helvetica"/>
          <w:b/>
          <w:color w:val="1E3A8A"/>
          <w:sz w:val="32"/>
        </w:rPr>
        <w:t>6. Execution, Verification &amp; Testing Instructions</w:t>
      </w:r>
    </w:p>
    <w:p>
      <w:r>
        <w:t>The application has been verified for complete local execution, error-free navigation, and passed 100% of automated unit tests. To inspect or run the application locally, use the commands below:</w:t>
      </w:r>
    </w:p>
    <w:p>
      <w:r>
        <w:t>1. Install Dependencies:</w:t>
        <w:br/>
        <w:t xml:space="preserve">   pip install -r requirements.txt</w:t>
      </w:r>
    </w:p>
    <w:p>
      <w:r>
        <w:t>2. Execute Automated Unit Tests:</w:t>
        <w:br/>
        <w:t xml:space="preserve">   python -m pytest -v</w:t>
      </w:r>
    </w:p>
    <w:p>
      <w:r>
        <w:t>3. Launch the Interactive Web Dashboard:</w:t>
        <w:br/>
        <w:t xml:space="preserve">   streamlit run app.py</w:t>
      </w:r>
    </w:p>
    <w:p>
      <w:r>
        <w:t>4. Access in Web Browser:</w:t>
        <w:br/>
        <w:t xml:space="preserve">   Navigate to http://localhost:8501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