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16362" w14:textId="77777777" w:rsidR="00464B4C" w:rsidRDefault="00464B4C">
      <w:pPr>
        <w:spacing w:line="360" w:lineRule="auto"/>
      </w:pPr>
    </w:p>
    <w:p w14:paraId="43CE4C24" w14:textId="77777777" w:rsidR="00464B4C" w:rsidRDefault="00000000">
      <w:pPr>
        <w:spacing w:line="300" w:lineRule="auto"/>
        <w:jc w:val="center"/>
      </w:pPr>
      <w:r>
        <w:rPr>
          <w:b/>
          <w:bCs/>
        </w:rPr>
        <w:t>FUNDAÇÃO GETULIO VARGAS — FGV IN COMPANY</w:t>
      </w:r>
    </w:p>
    <w:p w14:paraId="5C4BDAFE" w14:textId="77777777" w:rsidR="00464B4C" w:rsidRDefault="00000000">
      <w:pPr>
        <w:spacing w:line="300" w:lineRule="auto"/>
        <w:jc w:val="center"/>
      </w:pPr>
      <w:r>
        <w:rPr>
          <w:sz w:val="22"/>
          <w:szCs w:val="22"/>
        </w:rPr>
        <w:t>MBA em Inteligência Artificial Aplicada à Gestão (turma INSS)</w:t>
      </w:r>
    </w:p>
    <w:p w14:paraId="651D1AE9" w14:textId="77777777" w:rsidR="00464B4C" w:rsidRDefault="00000000">
      <w:pPr>
        <w:spacing w:line="300" w:lineRule="auto"/>
        <w:jc w:val="center"/>
      </w:pPr>
      <w:r>
        <w:rPr>
          <w:sz w:val="22"/>
          <w:szCs w:val="22"/>
        </w:rPr>
        <w:t>Disciplina: Environmental, Social e Corporate Governance (ESG)</w:t>
      </w:r>
    </w:p>
    <w:p w14:paraId="289E5847" w14:textId="77777777" w:rsidR="00464B4C" w:rsidRDefault="00000000">
      <w:pPr>
        <w:spacing w:line="300" w:lineRule="auto"/>
        <w:jc w:val="center"/>
      </w:pPr>
      <w:r>
        <w:rPr>
          <w:color w:val="595959"/>
          <w:sz w:val="22"/>
          <w:szCs w:val="22"/>
        </w:rPr>
        <w:t>Prof. Felipe Borges, PMP</w:t>
      </w:r>
    </w:p>
    <w:p w14:paraId="5DAD6A64" w14:textId="77777777" w:rsidR="00464B4C" w:rsidRDefault="00464B4C">
      <w:pPr>
        <w:spacing w:line="360" w:lineRule="auto"/>
      </w:pPr>
    </w:p>
    <w:p w14:paraId="60D76CEC" w14:textId="77777777" w:rsidR="00464B4C" w:rsidRDefault="00464B4C">
      <w:pPr>
        <w:spacing w:line="360" w:lineRule="auto"/>
      </w:pPr>
    </w:p>
    <w:p w14:paraId="437A7778" w14:textId="77777777" w:rsidR="00464B4C" w:rsidRDefault="00464B4C">
      <w:pPr>
        <w:spacing w:line="360" w:lineRule="auto"/>
      </w:pPr>
    </w:p>
    <w:p w14:paraId="4C461959" w14:textId="77777777" w:rsidR="00464B4C" w:rsidRDefault="00464B4C">
      <w:pPr>
        <w:spacing w:line="360" w:lineRule="auto"/>
      </w:pPr>
    </w:p>
    <w:p w14:paraId="3847549B" w14:textId="77777777" w:rsidR="00464B4C" w:rsidRDefault="00464B4C">
      <w:pPr>
        <w:spacing w:line="360" w:lineRule="auto"/>
      </w:pPr>
    </w:p>
    <w:p w14:paraId="2385A004" w14:textId="77777777" w:rsidR="00464B4C" w:rsidRDefault="00000000">
      <w:pPr>
        <w:spacing w:line="300" w:lineRule="auto"/>
        <w:jc w:val="center"/>
      </w:pPr>
      <w:r>
        <w:rPr>
          <w:b/>
          <w:bCs/>
          <w:color w:val="1F4E79"/>
          <w:sz w:val="36"/>
          <w:szCs w:val="36"/>
        </w:rPr>
        <w:t>RELATÓRIO DE PARECER AO BNDES</w:t>
      </w:r>
    </w:p>
    <w:p w14:paraId="58588DE5" w14:textId="77777777" w:rsidR="00464B4C" w:rsidRDefault="00464B4C">
      <w:pPr>
        <w:spacing w:line="360" w:lineRule="auto"/>
      </w:pPr>
    </w:p>
    <w:p w14:paraId="58487F3A" w14:textId="77777777" w:rsidR="00464B4C" w:rsidRDefault="00000000">
      <w:pPr>
        <w:spacing w:line="300" w:lineRule="auto"/>
        <w:jc w:val="center"/>
      </w:pPr>
      <w:r>
        <w:rPr>
          <w:i/>
          <w:iCs/>
          <w:color w:val="595959"/>
        </w:rPr>
        <w:t>Auditoria Previdenciária com Apoio de Inteligência Artificial</w:t>
      </w:r>
    </w:p>
    <w:p w14:paraId="7045C9A1" w14:textId="77777777" w:rsidR="00464B4C" w:rsidRDefault="00000000">
      <w:pPr>
        <w:spacing w:line="300" w:lineRule="auto"/>
        <w:jc w:val="center"/>
      </w:pPr>
      <w:r>
        <w:rPr>
          <w:i/>
          <w:iCs/>
          <w:color w:val="595959"/>
        </w:rPr>
        <w:t>Análise da situação previdenciária da Aurora Bioindustrial S.A.</w:t>
      </w:r>
    </w:p>
    <w:p w14:paraId="40552577" w14:textId="77777777" w:rsidR="00464B4C" w:rsidRDefault="00464B4C">
      <w:pPr>
        <w:spacing w:line="360" w:lineRule="auto"/>
      </w:pPr>
    </w:p>
    <w:p w14:paraId="1D8B295D" w14:textId="77777777" w:rsidR="00464B4C" w:rsidRDefault="00464B4C">
      <w:pPr>
        <w:spacing w:line="360" w:lineRule="auto"/>
      </w:pPr>
    </w:p>
    <w:p w14:paraId="7EBE942C" w14:textId="77777777" w:rsidR="00464B4C" w:rsidRDefault="00464B4C">
      <w:pPr>
        <w:spacing w:line="360" w:lineRule="auto"/>
      </w:pPr>
    </w:p>
    <w:p w14:paraId="70474F72" w14:textId="77777777" w:rsidR="00464B4C" w:rsidRDefault="00464B4C">
      <w:pPr>
        <w:spacing w:line="360" w:lineRule="auto"/>
      </w:pPr>
    </w:p>
    <w:p w14:paraId="7ABFC52B" w14:textId="77777777" w:rsidR="00464B4C" w:rsidRDefault="00464B4C">
      <w:pPr>
        <w:spacing w:line="360" w:lineRule="auto"/>
      </w:pPr>
    </w:p>
    <w:p w14:paraId="29FBED19" w14:textId="77777777" w:rsidR="00464B4C" w:rsidRDefault="00464B4C">
      <w:pPr>
        <w:spacing w:line="360" w:lineRule="auto"/>
      </w:pPr>
    </w:p>
    <w:p w14:paraId="40C38FE7" w14:textId="77777777" w:rsidR="00464B4C" w:rsidRDefault="00000000">
      <w:pPr>
        <w:spacing w:line="300" w:lineRule="auto"/>
        <w:jc w:val="center"/>
      </w:pPr>
      <w:r>
        <w:rPr>
          <w:b/>
          <w:bCs/>
          <w:sz w:val="26"/>
          <w:szCs w:val="26"/>
        </w:rPr>
        <w:t>Adilson Guimarães Costa</w:t>
      </w:r>
    </w:p>
    <w:p w14:paraId="2974771F" w14:textId="77777777" w:rsidR="00464B4C" w:rsidRDefault="00000000">
      <w:pPr>
        <w:spacing w:line="300" w:lineRule="auto"/>
        <w:jc w:val="center"/>
      </w:pPr>
      <w:r>
        <w:rPr>
          <w:color w:val="595959"/>
          <w:sz w:val="22"/>
          <w:szCs w:val="22"/>
        </w:rPr>
        <w:t>Analista do Seguro Social</w:t>
      </w:r>
    </w:p>
    <w:p w14:paraId="740AB0CF" w14:textId="77777777" w:rsidR="00464B4C" w:rsidRDefault="00464B4C">
      <w:pPr>
        <w:spacing w:line="360" w:lineRule="auto"/>
      </w:pPr>
    </w:p>
    <w:p w14:paraId="592DD927" w14:textId="77777777" w:rsidR="00464B4C" w:rsidRDefault="00464B4C">
      <w:pPr>
        <w:spacing w:line="360" w:lineRule="auto"/>
      </w:pPr>
    </w:p>
    <w:p w14:paraId="4EF092FF" w14:textId="77777777" w:rsidR="00464B4C" w:rsidRDefault="00464B4C">
      <w:pPr>
        <w:spacing w:line="360" w:lineRule="auto"/>
      </w:pPr>
    </w:p>
    <w:p w14:paraId="7E4414B4" w14:textId="77777777" w:rsidR="00464B4C" w:rsidRDefault="00464B4C">
      <w:pPr>
        <w:spacing w:line="360" w:lineRule="auto"/>
      </w:pPr>
    </w:p>
    <w:p w14:paraId="14DB35F4" w14:textId="77777777" w:rsidR="00464B4C" w:rsidRDefault="00464B4C">
      <w:pPr>
        <w:spacing w:line="360" w:lineRule="auto"/>
      </w:pPr>
    </w:p>
    <w:p w14:paraId="38B18F28" w14:textId="77777777" w:rsidR="00464B4C" w:rsidRDefault="00000000">
      <w:pPr>
        <w:spacing w:line="300" w:lineRule="auto"/>
        <w:jc w:val="center"/>
      </w:pPr>
      <w:r>
        <w:rPr>
          <w:sz w:val="22"/>
          <w:szCs w:val="22"/>
        </w:rPr>
        <w:t>Trabalho individual da disciplina de ESG</w:t>
      </w:r>
    </w:p>
    <w:p w14:paraId="0ECDD03E" w14:textId="77777777" w:rsidR="00464B4C" w:rsidRDefault="00464B4C">
      <w:pPr>
        <w:spacing w:line="360" w:lineRule="auto"/>
      </w:pPr>
    </w:p>
    <w:p w14:paraId="08BAA4C8" w14:textId="77777777" w:rsidR="00464B4C" w:rsidRDefault="00464B4C">
      <w:pPr>
        <w:spacing w:line="360" w:lineRule="auto"/>
      </w:pPr>
    </w:p>
    <w:p w14:paraId="7B50405A" w14:textId="77777777" w:rsidR="00464B4C" w:rsidRDefault="00464B4C">
      <w:pPr>
        <w:spacing w:line="360" w:lineRule="auto"/>
      </w:pPr>
    </w:p>
    <w:p w14:paraId="50C1C9A2" w14:textId="77777777" w:rsidR="00464B4C" w:rsidRDefault="00000000">
      <w:pPr>
        <w:spacing w:line="300" w:lineRule="auto"/>
        <w:jc w:val="center"/>
      </w:pPr>
      <w:r>
        <w:rPr>
          <w:sz w:val="22"/>
          <w:szCs w:val="22"/>
        </w:rPr>
        <w:t>2026</w:t>
      </w:r>
    </w:p>
    <w:p w14:paraId="35613F51" w14:textId="77777777" w:rsidR="00464B4C" w:rsidRDefault="00464B4C">
      <w:pPr>
        <w:sectPr w:rsidR="00464B4C">
          <w:pgSz w:w="12240" w:h="15840"/>
          <w:pgMar w:top="1300" w:right="1440" w:bottom="1300" w:left="1440" w:header="708" w:footer="708" w:gutter="0"/>
          <w:cols w:space="720"/>
          <w:docGrid w:linePitch="360"/>
        </w:sectPr>
      </w:pPr>
    </w:p>
    <w:p w14:paraId="6EC6DCBE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lastRenderedPageBreak/>
        <w:t>1. Identificação da empresa e do pleito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64B4C" w14:paraId="4C50E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F4874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Empresa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B657B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Aurora Bioindustrial S.A.</w:t>
            </w:r>
          </w:p>
        </w:tc>
      </w:tr>
      <w:tr w:rsidR="00464B4C" w14:paraId="349BBE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BA1C3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CNPJ (fictício)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98B8E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48.732.910/0001-66</w:t>
            </w:r>
          </w:p>
        </w:tc>
      </w:tr>
      <w:tr w:rsidR="00464B4C" w14:paraId="0A0358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FB1281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Setor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1BED9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Indústria de alimentos, bioinsumos e embalagens sustentáveis</w:t>
            </w:r>
          </w:p>
        </w:tc>
      </w:tr>
      <w:tr w:rsidR="00464B4C" w14:paraId="1F118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5613D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Localização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027BD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Uberaba, Minas Gerais</w:t>
            </w:r>
          </w:p>
        </w:tc>
      </w:tr>
      <w:tr w:rsidR="00464B4C" w14:paraId="555FAD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1920B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Quadro de pessoal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CBE5D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1.240 empregados diretos e 386 terceirizados permanentes</w:t>
            </w:r>
          </w:p>
        </w:tc>
      </w:tr>
      <w:tr w:rsidR="00464B4C" w14:paraId="2963AE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9B940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Porte econômico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4BAEB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Receita bruta R$ 612 mi/ano; EBITDA R$ 74 mi; 18 anos de operação</w:t>
            </w:r>
          </w:p>
        </w:tc>
      </w:tr>
      <w:tr w:rsidR="00464B4C" w14:paraId="685D09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9ED89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Pleito ao BNDES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A8A6B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R$ 85 milhões — modernização, automação e expansão de capacidade</w:t>
            </w:r>
          </w:p>
        </w:tc>
      </w:tr>
      <w:tr w:rsidR="00464B4C" w14:paraId="3B914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70407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Prazo solicitado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26F36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8 anos, com 24 meses de carência</w:t>
            </w:r>
          </w:p>
        </w:tc>
      </w:tr>
      <w:tr w:rsidR="00464B4C" w14:paraId="442767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CDB6C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Período analisado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AA7E3" w14:textId="77777777" w:rsidR="00464B4C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24 competências (jan/2024 a dez/2025)</w:t>
            </w:r>
          </w:p>
        </w:tc>
      </w:tr>
    </w:tbl>
    <w:p w14:paraId="36B241B9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t>2. Sumário executivo</w:t>
      </w:r>
    </w:p>
    <w:p w14:paraId="6F9026C1" w14:textId="77777777" w:rsidR="00464B4C" w:rsidRDefault="00000000">
      <w:pPr>
        <w:spacing w:after="120" w:line="360" w:lineRule="auto"/>
        <w:jc w:val="both"/>
      </w:pPr>
      <w:r>
        <w:t>A Aurora Bioindustrial S.A. é empresa economicamente relevante e geradora de emprego, porém apresenta inconsistências previdenciárias materiais que exigem tratamento prévio à liberação de recursos públicos. Em 24 competências verificou-se diferença previdenciária acumulada de R$ 3,9 milhões (9,9% da contribuição devida), com 10 meses fora do padrão regular, divergências entre folha, eSocial e DCTFWeb, absenteísmo elevado nas áreas operacionais, indícios de subnotificação de CAT e passivo trabalhista subprovisionado em R$ 5,2 milhões. O score técnico de risco é de 60,75 pontos (faixa “favorável com condicionantes”). Recomenda-se APROVAR COM CONDICIONANTES, mediante regularização documentada dos pontos críticos.</w:t>
      </w:r>
    </w:p>
    <w:p w14:paraId="082B9E12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t>3. Recolhimentos e obrigações acessórias</w:t>
      </w:r>
    </w:p>
    <w:p w14:paraId="0C5BD802" w14:textId="258C0DB4" w:rsidR="00464B4C" w:rsidRDefault="00000000">
      <w:pPr>
        <w:spacing w:after="120" w:line="360" w:lineRule="auto"/>
        <w:jc w:val="both"/>
      </w:pPr>
      <w:r>
        <w:t>Das 24 competências, 14 foram recolhidas integralmente no prazo, 6 de forma parcial, 3 com atraso superior a 60 dias e 1 sem recolhimento</w:t>
      </w:r>
      <w:r w:rsidR="00006DD7">
        <w:t xml:space="preserve"> - </w:t>
      </w:r>
      <w:r>
        <w:t>10 meses (41,7%) com irregularidade. A contribuição devida somou R$ 39,35 milhões e a recolhida R$ 35,45 milhões, confirmando a diferença de R$ 3,90 milhões; os eventos mais graves ocorreram em nov/2024 (sem recolhimento, R$ 620 mil, 120 dias), jun/2024 (atraso, R$ 530 mil) e abr/2025 (atraso, R$ 460 mil). Somam-se divergências recorrentes entre folha, eSocial e DCTFWeb e indícios de falhas na base de adicionais, prêmios e remuneração variável</w:t>
      </w:r>
      <w:r w:rsidR="00006DD7">
        <w:t xml:space="preserve"> - </w:t>
      </w:r>
      <w:r>
        <w:t>caracterizando, no mínimo, falha de controle interno, cuja recorrência eleva o risco de insuficiência de recolhimento.</w:t>
      </w:r>
    </w:p>
    <w:p w14:paraId="3A7A726F" w14:textId="77777777" w:rsidR="00464B4C" w:rsidRDefault="00000000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37114F5A" wp14:editId="2E1E045E">
            <wp:extent cx="5715000" cy="2200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DE86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t>4. Absenteísmo e afastamentos</w:t>
      </w:r>
    </w:p>
    <w:p w14:paraId="3259781F" w14:textId="77777777" w:rsidR="00464B4C" w:rsidRDefault="00000000">
      <w:pPr>
        <w:spacing w:after="120" w:line="360" w:lineRule="auto"/>
        <w:jc w:val="both"/>
      </w:pPr>
      <w:r>
        <w:t>O absenteísmo médio ponderado é de 6,25%, mas a Produção atinge 9,1% e a Logística 8,3%, em tendência de alta. Há 86 afastamentos acima de 15 dias e 31 casos com possível nexo ocupacional. O patamar e a concentração setorial sugerem adoecimento relacionado ao trabalho, com impacto direto sobre o custeio da seguridade (benefícios por incapacidade) e sobre a produtividade da operação a ser financiada.</w:t>
      </w:r>
    </w:p>
    <w:p w14:paraId="2D621501" w14:textId="77777777" w:rsidR="00464B4C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509A475D" wp14:editId="49B0A3FC">
            <wp:extent cx="5715000" cy="2324100"/>
            <wp:effectExtent l="0" t="0" r="0" b="0"/>
            <wp:docPr id="1281121372" name="Imagem 1281121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95BD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t>5. Saúde, segurança e emissão de CAT</w:t>
      </w:r>
    </w:p>
    <w:p w14:paraId="11994D5A" w14:textId="454F3701" w:rsidR="00464B4C" w:rsidRDefault="00000000">
      <w:pPr>
        <w:spacing w:after="120" w:line="360" w:lineRule="auto"/>
        <w:jc w:val="both"/>
      </w:pPr>
      <w:r>
        <w:t>Os indicadores de SST superam os limites de atenção: 37 acidentes típicos (limite 25), taxa de frequência 5,8 (limite 4) e taxa de gravidade 224 (limite 180). Foram emitidas apenas 22 CATs</w:t>
      </w:r>
      <w:r w:rsidR="00006DD7">
        <w:t xml:space="preserve"> - </w:t>
      </w:r>
      <w:r>
        <w:t>incompatível com os 31 afastamentos de possível nexo</w:t>
      </w:r>
      <w:r w:rsidR="00006DD7">
        <w:t xml:space="preserve"> - </w:t>
      </w:r>
      <w:r>
        <w:t>e há 9 suspeitas de subnotificação. Acresce a execução de apenas 63,5% das inspeções planejadas e 18% de treinamentos obrigatórios pendentes na produção. A subnotificação é irregular, compromete a reputação previdenciária e pode mascarar passivo de benefícios acidentários.</w:t>
      </w:r>
    </w:p>
    <w:p w14:paraId="4139396E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lastRenderedPageBreak/>
        <w:t>6. Terceirização e contencioso</w:t>
      </w:r>
    </w:p>
    <w:p w14:paraId="4B5D1298" w14:textId="77777777" w:rsidR="00464B4C" w:rsidRDefault="00000000">
      <w:pPr>
        <w:spacing w:after="120" w:line="360" w:lineRule="auto"/>
        <w:jc w:val="both"/>
      </w:pPr>
      <w:r>
        <w:t>Das cinco contratadas, duas concentram risco alto: Delta Serviços (regularidade parcial, sem comprovação em quatro competências) e Nexus Facilities (regularidade insuficiente, alta rotatividade e indícios de pejotização), ambas de alta dependência operacional; pela responsabilidade subsidiária/solidária da tomadora, suas pendências repercutem no parecer. No contencioso, há auto de infração previdenciário (R$ 740 mil), notificação fiscal (R$ 1,2 mi) e 74 ações trabalhistas provisionadas em R$ 9,6 mi; a auditoria externa estima o passivo em R$ 14,8 mi, revelando R$ 5,2 mi sem provisão.</w:t>
      </w:r>
    </w:p>
    <w:p w14:paraId="4C9F1EB2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t>7. Classificação de risco (score)</w:t>
      </w:r>
    </w:p>
    <w:p w14:paraId="0F696577" w14:textId="77777777" w:rsidR="00464B4C" w:rsidRDefault="00000000">
      <w:pPr>
        <w:spacing w:after="120" w:line="360" w:lineRule="auto"/>
        <w:jc w:val="both"/>
      </w:pPr>
      <w:r>
        <w:t>Aplicada a matriz ponderada do case, o score consolidado é de 60,75/100, classificando a empresa como favorável com condicionantes (faixa 60–79). Os critérios de menor aproveitamento são histórico de autuações/contencioso (45%) e gestão de terceiros (50%); governança e regularidade formal sustentam a nota.</w:t>
      </w:r>
    </w:p>
    <w:p w14:paraId="59662EB1" w14:textId="77777777" w:rsidR="00464B4C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188FD54A" wp14:editId="60F62A15">
            <wp:extent cx="5715000" cy="2324100"/>
            <wp:effectExtent l="0" t="0" r="0" b="0"/>
            <wp:docPr id="650499713" name="Imagem 650499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1970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t>8. Matriz de achados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2795"/>
        <w:gridCol w:w="911"/>
        <w:gridCol w:w="2102"/>
        <w:gridCol w:w="2241"/>
      </w:tblGrid>
      <w:tr w:rsidR="00464B4C" w14:paraId="78A458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EAF0F" w14:textId="77777777" w:rsidR="00464B4C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Domínio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EB655" w14:textId="77777777" w:rsidR="00464B4C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Evidência (dados)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59339" w14:textId="77777777" w:rsidR="00464B4C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DE253" w14:textId="77777777" w:rsidR="00464B4C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0644A" w14:textId="77777777" w:rsidR="00464B4C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 / Condicionante</w:t>
            </w:r>
          </w:p>
        </w:tc>
      </w:tr>
      <w:tr w:rsidR="00464B4C" w14:paraId="19024C6A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13D04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Recolhimentos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EA031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10 de 24 competências parciais, em atraso (&gt;60d) ou sem recolhimento; diferença de R$ 3,9 mi (devida R$ 39,35 mi × recolhida R$ 35,45 mi)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43432" w14:textId="77777777" w:rsidR="00464B4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32514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Perda de regularidade (CND/CPEND); risco de execução fiscal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2429C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Conciliar folha × DCTFWeb e quitar/parcelar antes da liberação</w:t>
            </w:r>
          </w:p>
        </w:tc>
      </w:tr>
      <w:tr w:rsidR="00464B4C" w14:paraId="729F0A4F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A4E03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Obrigações acessórias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F71DA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Divergências folha × eSocial × DCTFWeb em 10 competências; falhas na base de adicionais, prêmios e variável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F8AD8" w14:textId="77777777" w:rsidR="00464B4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E415B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Subdeclaração e autuação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E2570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Auditar o fechamento de folha e retificar as bases</w:t>
            </w:r>
          </w:p>
        </w:tc>
      </w:tr>
      <w:tr w:rsidR="00464B4C" w14:paraId="1691F896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B639F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Absenteísmo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9AC64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Média 6,25%, com Produção 9,1% e Logística 8,3%; 86 afastamentos &gt;15 dias e 31 com possível nexo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76C2B" w14:textId="77777777" w:rsidR="00464B4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Médio-Alto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D8091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Transferência de custo ao RGPS (benefícios por incapacidade); adoecimento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A1771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Saúde ocupacional e ergonomia nas áreas críticas</w:t>
            </w:r>
          </w:p>
        </w:tc>
      </w:tr>
      <w:tr w:rsidR="00464B4C" w14:paraId="11284071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A3E3F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SST / CAT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2FA16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37 acidentes (limite 25); só 22 CATs para 31 nexos; 9 suspeitas de subnotificação; treinamentos 18% pendentes; inspeções a 63,5%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0F9EE" w14:textId="77777777" w:rsidR="00464B4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0F46E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Mascara o acidentário (B91); distorce o FAP; fere obrigação legal e a reputação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DF90D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Emitir CAT retroativas, revisar NTEP, treinar e inspecionar</w:t>
            </w:r>
          </w:p>
        </w:tc>
      </w:tr>
      <w:tr w:rsidR="00464B4C" w14:paraId="279F2D11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CE4EC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Terceirização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72293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Delta (parcial, sem comprovação em 4 comp.) e Nexus (insuficiente, indício de pejotização) — 214 trabalhadores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6505F" w14:textId="77777777" w:rsidR="00464B4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626B9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Responsabilidade subsidiária/solidária; risco de vínculo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87BB9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Sanear Delta em 30 dias; suspender Nexus até regularizar</w:t>
            </w:r>
          </w:p>
        </w:tc>
      </w:tr>
      <w:tr w:rsidR="00464B4C" w14:paraId="3196F00B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0BC3F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Contencioso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272E8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74 ações; provisão R$ 9,6 mi × estimativa externa R$ 14,8 mi (R$ 5,2 mi a descoberto)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F2D0F" w14:textId="77777777" w:rsidR="00464B4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07F2D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Passivo subavaliado afeta a solvência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BBC63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Reprovisionar conforme estimativa externa e reportar evolução</w:t>
            </w:r>
          </w:p>
        </w:tc>
      </w:tr>
      <w:tr w:rsidR="00464B4C" w14:paraId="302FD346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393D1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Score global</w:t>
            </w:r>
          </w:p>
        </w:tc>
        <w:tc>
          <w:tcPr>
            <w:tcW w:w="2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A66C9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Score técnico consolidado 60,75/100 (faixa 60–79)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5E6C9" w14:textId="77777777" w:rsidR="00464B4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Médio</w:t>
            </w:r>
          </w:p>
        </w:tc>
        <w:tc>
          <w:tcPr>
            <w:tcW w:w="2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3AEF1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Aprovação viável, porém condicionada</w:t>
            </w:r>
          </w:p>
        </w:tc>
        <w:tc>
          <w:tcPr>
            <w:tcW w:w="2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B5DF2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Liberar em tranches vinculadas a marcos de regularização</w:t>
            </w:r>
          </w:p>
        </w:tc>
      </w:tr>
    </w:tbl>
    <w:p w14:paraId="35C8ED69" w14:textId="77777777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t>9. Respostas às dez perguntas orientadoras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5600"/>
      </w:tblGrid>
      <w:tr w:rsidR="00464B4C" w14:paraId="528C9D5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8ABD5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1. Regularidade suficiente para financiamento público?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510A7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Não plena. 10/24 competências irregulares e diferença de R$ 3,9 mi impedem a regularidade formal sem saneamento prévio.</w:t>
            </w:r>
          </w:p>
        </w:tc>
      </w:tr>
      <w:tr w:rsidR="00464B4C" w14:paraId="23A80A4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C5E01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2. A diferença de R$ 3,9 mi é relevante?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F38EE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Sim. Equivale a 9,9% da contribuição devida no período e é recorrente — material para a análise.</w:t>
            </w:r>
          </w:p>
        </w:tc>
      </w:tr>
      <w:tr w:rsidR="00464B4C" w14:paraId="3356777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03851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3. As divergências indicam erro, falha de controle ou sonegação?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D3712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Predominam falha de controle interno e subdeclaração de bases (adicionais/prêmios); a recorrência exige investigação, sem prova de dolo nos dados.</w:t>
            </w:r>
          </w:p>
        </w:tc>
      </w:tr>
      <w:tr w:rsidR="00464B4C" w14:paraId="759ABBB9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30CD5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4. Absenteísmo e nexo são risco à seguridade?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0005D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Sim. Concentração em Produção/Logística e 31 nexos pressionam o custeio do RGPS via benefícios por incapacidade.</w:t>
            </w:r>
          </w:p>
        </w:tc>
      </w:tr>
      <w:tr w:rsidR="00464B4C" w14:paraId="1AD05DE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098C9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5. A subnotificação de CAT afeta a reputação previdenciária?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240E5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Sim. 22 CATs para 31 nexos e 9 suspeitas mascaram acidentário, distorcem o FAP e comprometem a reputação.</w:t>
            </w:r>
          </w:p>
        </w:tc>
      </w:tr>
      <w:tr w:rsidR="00464B4C" w14:paraId="064ABF4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FDA36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6. Os problemas dos terceiros influenciam o parecer?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31B4A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Sim. Pela responsabilidade subsidiária/solidária, as pendências de Delta e Nexus repercutem sobre a tomadora.</w:t>
            </w:r>
          </w:p>
        </w:tc>
      </w:tr>
      <w:tr w:rsidR="00464B4C" w14:paraId="791CA112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8AEA7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7. O histórico de autuações e ações justifica restrição?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12ECA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Sim, restrição parcial. Auto de infração, notificação fiscal e 74 ações com R$ 5,2 mi sem provisão recomendam cautela.</w:t>
            </w:r>
          </w:p>
        </w:tc>
      </w:tr>
      <w:tr w:rsidR="00464B4C" w14:paraId="2CD8A05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C1763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8. O plano de regularização é suficiente?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A27E1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Parcialmente. Há capacidade de mitigação, mas insuficiente sem as condicionantes e prazos.</w:t>
            </w:r>
          </w:p>
        </w:tc>
      </w:tr>
      <w:tr w:rsidR="00464B4C" w14:paraId="0C566E0D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B9C32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9. Quais condicionantes exigir antes da liberação?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3F04C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As sete listadas na conclusão (quitação, conciliação, SST/CAT, terceiros, reprovisionamento e liberação em tranches).</w:t>
            </w:r>
          </w:p>
        </w:tc>
      </w:tr>
      <w:tr w:rsidR="00464B4C" w14:paraId="4D8AB88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8A56A" w14:textId="77777777" w:rsidR="00464B4C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10. Recomendação final?</w:t>
            </w:r>
          </w:p>
        </w:tc>
        <w:tc>
          <w:tcPr>
            <w:tcW w:w="5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EB24B" w14:textId="77777777" w:rsidR="00464B4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APROVAR COM CONDICIONANTES, coerente com o score 60,75 e com a reversibilidade dos achados.</w:t>
            </w:r>
          </w:p>
        </w:tc>
      </w:tr>
    </w:tbl>
    <w:p w14:paraId="1E7DECBF" w14:textId="77777777" w:rsidR="00006DD7" w:rsidRDefault="00006DD7">
      <w:pPr>
        <w:pStyle w:val="Ttulo1"/>
        <w:spacing w:before="200" w:after="120"/>
        <w:rPr>
          <w:b/>
          <w:bCs/>
          <w:color w:val="1F4E79"/>
          <w:sz w:val="27"/>
          <w:szCs w:val="27"/>
        </w:rPr>
      </w:pPr>
    </w:p>
    <w:p w14:paraId="19936DA5" w14:textId="77777777" w:rsidR="00006DD7" w:rsidRDefault="00006DD7">
      <w:pPr>
        <w:rPr>
          <w:b/>
          <w:bCs/>
          <w:color w:val="1F4E79"/>
          <w:sz w:val="27"/>
          <w:szCs w:val="27"/>
        </w:rPr>
      </w:pPr>
      <w:r>
        <w:rPr>
          <w:b/>
          <w:bCs/>
          <w:color w:val="1F4E79"/>
          <w:sz w:val="27"/>
          <w:szCs w:val="27"/>
        </w:rPr>
        <w:br w:type="page"/>
      </w:r>
    </w:p>
    <w:p w14:paraId="5DD68968" w14:textId="5FF01CF3" w:rsidR="00464B4C" w:rsidRDefault="00000000">
      <w:pPr>
        <w:pStyle w:val="Ttulo1"/>
        <w:spacing w:before="200" w:after="120"/>
      </w:pPr>
      <w:r>
        <w:rPr>
          <w:b/>
          <w:bCs/>
          <w:color w:val="1F4E79"/>
          <w:sz w:val="27"/>
          <w:szCs w:val="27"/>
        </w:rPr>
        <w:lastRenderedPageBreak/>
        <w:t>10. Conclusão, recomendação e condicionantes</w:t>
      </w:r>
    </w:p>
    <w:p w14:paraId="0A623D9E" w14:textId="77777777" w:rsidR="00464B4C" w:rsidRDefault="00000000">
      <w:pPr>
        <w:spacing w:after="120" w:line="360" w:lineRule="auto"/>
        <w:jc w:val="both"/>
      </w:pPr>
      <w:r>
        <w:t>Os dados não revelam impedimento absoluto, mas tampouco atestam regularidade previdenciária plena. A diferença de R$ 3,9 milhões, as divergências em obrigações acessórias, a subnotificação de CAT, o risco de terceiros e o passivo subprovisionado configuram risco moderado a alto, coerente com o score de 60,75. Dada a relevância econômica e a capacidade de mitigação demonstrada (auditoria externa e plano de regularização em curso), a recomendação final é:</w:t>
      </w:r>
    </w:p>
    <w:p w14:paraId="75E279E9" w14:textId="77777777" w:rsidR="00464B4C" w:rsidRDefault="00000000">
      <w:pPr>
        <w:spacing w:before="60" w:after="120"/>
        <w:jc w:val="center"/>
      </w:pPr>
      <w:r>
        <w:rPr>
          <w:b/>
          <w:bCs/>
          <w:color w:val="1F4E79"/>
          <w:sz w:val="26"/>
          <w:szCs w:val="26"/>
        </w:rPr>
        <w:t>APROVAR COM CONDICIONANTES</w:t>
      </w:r>
    </w:p>
    <w:p w14:paraId="0C6BE399" w14:textId="77777777" w:rsidR="00464B4C" w:rsidRDefault="00000000">
      <w:pPr>
        <w:spacing w:after="60"/>
        <w:jc w:val="both"/>
      </w:pPr>
      <w:r>
        <w:t>Condicionantes a cumprir antes da liberação dos recursos:</w:t>
      </w:r>
    </w:p>
    <w:p w14:paraId="2207131D" w14:textId="77777777" w:rsidR="00464B4C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Apresentação de CND/CPEND e quitação ou parcelamento da diferença previdenciária de R$ 3,9 milhões.</w:t>
      </w:r>
    </w:p>
    <w:p w14:paraId="047511A9" w14:textId="77777777" w:rsidR="00464B4C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Conciliação documentada entre folha, eSocial e DCTFWeb, com correção das bases de adicionais e prêmios.</w:t>
      </w:r>
    </w:p>
    <w:p w14:paraId="1A3336DF" w14:textId="77777777" w:rsidR="00464B4C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Programa de SST para Produção e Logística, com metas de redução de absenteísmo e de afastamentos com nexo.</w:t>
      </w:r>
    </w:p>
    <w:p w14:paraId="39CCBE83" w14:textId="77777777" w:rsidR="00464B4C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Regularização das CATs e apuração das 9 suspeitas de subnotificação; conclusão de treinamentos e inspeções.</w:t>
      </w:r>
    </w:p>
    <w:p w14:paraId="7EB57596" w14:textId="77777777" w:rsidR="00464B4C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Saneamento de Delta e Nexus em até 30 dias, com auditoria mensal e suspensão de novas alocações até regularizar.</w:t>
      </w:r>
    </w:p>
    <w:p w14:paraId="126CFF12" w14:textId="77777777" w:rsidR="00464B4C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Reprovisionamento do contencioso conforme a estimativa externa (R$ 14,8 mi), cobrindo os R$ 5,2 mi sem provisão.</w:t>
      </w:r>
    </w:p>
    <w:p w14:paraId="7A820783" w14:textId="77777777" w:rsidR="00464B4C" w:rsidRDefault="00000000">
      <w:pPr>
        <w:pStyle w:val="PargrafodaLista"/>
        <w:numPr>
          <w:ilvl w:val="0"/>
          <w:numId w:val="2"/>
        </w:numPr>
        <w:spacing w:after="60" w:line="360" w:lineRule="auto"/>
        <w:jc w:val="both"/>
      </w:pPr>
      <w:r>
        <w:t>Liberação em tranches, condicionando cada desembolso à verificação das condicionantes acima.</w:t>
      </w:r>
    </w:p>
    <w:p w14:paraId="696732B6" w14:textId="25CB68AB" w:rsidR="00464B4C" w:rsidRDefault="00000000">
      <w:pPr>
        <w:spacing w:before="120" w:after="60" w:line="360" w:lineRule="auto"/>
        <w:jc w:val="both"/>
      </w:pPr>
      <w:r>
        <w:t>Sob a ótica ESG, os achados concentram-se nas dimensões Social</w:t>
      </w:r>
      <w:r w:rsidR="00006DD7">
        <w:t xml:space="preserve"> - </w:t>
      </w:r>
      <w:r>
        <w:t>absenteísmo elevado, afastamentos com possível nexo ocupacional e subnotificação de CAT</w:t>
      </w:r>
      <w:r w:rsidR="00006DD7">
        <w:t xml:space="preserve"> - </w:t>
      </w:r>
      <w:r>
        <w:t>e de Governança</w:t>
      </w:r>
      <w:r w:rsidR="00006DD7">
        <w:t xml:space="preserve"> -</w:t>
      </w:r>
      <w:r>
        <w:t>divergências entre folha, eSocial e DCTFWeb, diferença previdenciária de R$ 3,9 milhões e integridade na concessão de crédito público</w:t>
      </w:r>
      <w:r w:rsidR="00006DD7">
        <w:t xml:space="preserve"> - </w:t>
      </w:r>
      <w:r>
        <w:t>, fatores que fundamentam condicionar a liberação dos recursos.</w:t>
      </w:r>
    </w:p>
    <w:sectPr w:rsidR="00464B4C" w:rsidSect="00006DD7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2B64" w14:textId="77777777" w:rsidR="00FD65B2" w:rsidRDefault="00FD65B2">
      <w:r>
        <w:separator/>
      </w:r>
    </w:p>
  </w:endnote>
  <w:endnote w:type="continuationSeparator" w:id="0">
    <w:p w14:paraId="56FBCAB0" w14:textId="77777777" w:rsidR="00FD65B2" w:rsidRDefault="00FD6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0276" w14:textId="390FF8E0" w:rsidR="00464B4C" w:rsidRDefault="00000000">
    <w:pPr>
      <w:jc w:val="center"/>
    </w:pPr>
    <w:r>
      <w:rPr>
        <w:color w:val="808080"/>
        <w:sz w:val="16"/>
        <w:szCs w:val="16"/>
      </w:rPr>
      <w:t xml:space="preserve">Parecer ao BNDES — Aurora Bioindustrial S.A.   |  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06DD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 w:rsidR="00006DD7">
      <w:rPr>
        <w:color w:val="808080"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1BA85" w14:textId="77777777" w:rsidR="00FD65B2" w:rsidRDefault="00FD65B2">
      <w:r>
        <w:separator/>
      </w:r>
    </w:p>
  </w:footnote>
  <w:footnote w:type="continuationSeparator" w:id="0">
    <w:p w14:paraId="2EF3B6F8" w14:textId="77777777" w:rsidR="00FD65B2" w:rsidRDefault="00FD6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940C1" w14:textId="77777777" w:rsidR="00464B4C" w:rsidRDefault="00000000">
    <w:pPr>
      <w:pBdr>
        <w:bottom w:val="single" w:sz="6" w:space="2" w:color="1F4E79"/>
      </w:pBdr>
      <w:jc w:val="right"/>
    </w:pPr>
    <w:r>
      <w:rPr>
        <w:color w:val="808080"/>
        <w:sz w:val="16"/>
        <w:szCs w:val="16"/>
      </w:rPr>
      <w:t>INSS — Equipe Técnica de Auditoria Previdenciária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C4B"/>
    <w:multiLevelType w:val="hybridMultilevel"/>
    <w:tmpl w:val="2DE27BD0"/>
    <w:lvl w:ilvl="0" w:tplc="53229C4A">
      <w:start w:val="1"/>
      <w:numFmt w:val="bullet"/>
      <w:lvlText w:val="●"/>
      <w:lvlJc w:val="left"/>
      <w:pPr>
        <w:ind w:left="720" w:hanging="360"/>
      </w:pPr>
    </w:lvl>
    <w:lvl w:ilvl="1" w:tplc="736C60F2">
      <w:start w:val="1"/>
      <w:numFmt w:val="bullet"/>
      <w:lvlText w:val="○"/>
      <w:lvlJc w:val="left"/>
      <w:pPr>
        <w:ind w:left="1440" w:hanging="360"/>
      </w:pPr>
    </w:lvl>
    <w:lvl w:ilvl="2" w:tplc="A72AA156">
      <w:start w:val="1"/>
      <w:numFmt w:val="bullet"/>
      <w:lvlText w:val="■"/>
      <w:lvlJc w:val="left"/>
      <w:pPr>
        <w:ind w:left="2160" w:hanging="360"/>
      </w:pPr>
    </w:lvl>
    <w:lvl w:ilvl="3" w:tplc="DB968A90">
      <w:start w:val="1"/>
      <w:numFmt w:val="bullet"/>
      <w:lvlText w:val="●"/>
      <w:lvlJc w:val="left"/>
      <w:pPr>
        <w:ind w:left="2880" w:hanging="360"/>
      </w:pPr>
    </w:lvl>
    <w:lvl w:ilvl="4" w:tplc="5084448A">
      <w:start w:val="1"/>
      <w:numFmt w:val="bullet"/>
      <w:lvlText w:val="○"/>
      <w:lvlJc w:val="left"/>
      <w:pPr>
        <w:ind w:left="3600" w:hanging="360"/>
      </w:pPr>
    </w:lvl>
    <w:lvl w:ilvl="5" w:tplc="CEA2C018">
      <w:start w:val="1"/>
      <w:numFmt w:val="bullet"/>
      <w:lvlText w:val="■"/>
      <w:lvlJc w:val="left"/>
      <w:pPr>
        <w:ind w:left="4320" w:hanging="360"/>
      </w:pPr>
    </w:lvl>
    <w:lvl w:ilvl="6" w:tplc="F2B80642">
      <w:start w:val="1"/>
      <w:numFmt w:val="bullet"/>
      <w:lvlText w:val="●"/>
      <w:lvlJc w:val="left"/>
      <w:pPr>
        <w:ind w:left="5040" w:hanging="360"/>
      </w:pPr>
    </w:lvl>
    <w:lvl w:ilvl="7" w:tplc="69926044">
      <w:start w:val="1"/>
      <w:numFmt w:val="bullet"/>
      <w:lvlText w:val="●"/>
      <w:lvlJc w:val="left"/>
      <w:pPr>
        <w:ind w:left="5760" w:hanging="360"/>
      </w:pPr>
    </w:lvl>
    <w:lvl w:ilvl="8" w:tplc="9050DD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D61C73"/>
    <w:multiLevelType w:val="hybridMultilevel"/>
    <w:tmpl w:val="2BD28A72"/>
    <w:lvl w:ilvl="0" w:tplc="9DA2C93A">
      <w:start w:val="1"/>
      <w:numFmt w:val="decimal"/>
      <w:lvlText w:val="%1."/>
      <w:lvlJc w:val="left"/>
      <w:pPr>
        <w:ind w:left="620" w:hanging="360"/>
      </w:pPr>
    </w:lvl>
    <w:lvl w:ilvl="1" w:tplc="51627C28">
      <w:numFmt w:val="decimal"/>
      <w:lvlText w:val=""/>
      <w:lvlJc w:val="left"/>
    </w:lvl>
    <w:lvl w:ilvl="2" w:tplc="7CEE1C88">
      <w:numFmt w:val="decimal"/>
      <w:lvlText w:val=""/>
      <w:lvlJc w:val="left"/>
    </w:lvl>
    <w:lvl w:ilvl="3" w:tplc="E4401594">
      <w:numFmt w:val="decimal"/>
      <w:lvlText w:val=""/>
      <w:lvlJc w:val="left"/>
    </w:lvl>
    <w:lvl w:ilvl="4" w:tplc="1646DEBA">
      <w:numFmt w:val="decimal"/>
      <w:lvlText w:val=""/>
      <w:lvlJc w:val="left"/>
    </w:lvl>
    <w:lvl w:ilvl="5" w:tplc="34C4D00E">
      <w:numFmt w:val="decimal"/>
      <w:lvlText w:val=""/>
      <w:lvlJc w:val="left"/>
    </w:lvl>
    <w:lvl w:ilvl="6" w:tplc="2AB2350C">
      <w:numFmt w:val="decimal"/>
      <w:lvlText w:val=""/>
      <w:lvlJc w:val="left"/>
    </w:lvl>
    <w:lvl w:ilvl="7" w:tplc="86BAF3A4">
      <w:numFmt w:val="decimal"/>
      <w:lvlText w:val=""/>
      <w:lvlJc w:val="left"/>
    </w:lvl>
    <w:lvl w:ilvl="8" w:tplc="9DC2A444">
      <w:numFmt w:val="decimal"/>
      <w:lvlText w:val=""/>
      <w:lvlJc w:val="left"/>
    </w:lvl>
  </w:abstractNum>
  <w:num w:numId="1" w16cid:durableId="1301157022">
    <w:abstractNumId w:val="0"/>
    <w:lvlOverride w:ilvl="0">
      <w:startOverride w:val="1"/>
    </w:lvlOverride>
  </w:num>
  <w:num w:numId="2" w16cid:durableId="1327972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B4C"/>
    <w:rsid w:val="00006DD7"/>
    <w:rsid w:val="0029382A"/>
    <w:rsid w:val="00464B4C"/>
    <w:rsid w:val="00FD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75590"/>
  <w15:docId w15:val="{7BAA9059-E3CE-48AF-806A-449A1648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06D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DD7"/>
  </w:style>
  <w:style w:type="paragraph" w:styleId="Rodap">
    <w:name w:val="footer"/>
    <w:basedOn w:val="Normal"/>
    <w:link w:val="RodapChar"/>
    <w:uiPriority w:val="99"/>
    <w:unhideWhenUsed/>
    <w:rsid w:val="00006D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1494</Words>
  <Characters>8073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Adilson Guimarães Costa</cp:lastModifiedBy>
  <cp:revision>2</cp:revision>
  <dcterms:created xsi:type="dcterms:W3CDTF">2026-06-27T22:17:00Z</dcterms:created>
  <dcterms:modified xsi:type="dcterms:W3CDTF">2026-06-27T22:53:00Z</dcterms:modified>
</cp:coreProperties>
</file>