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A5F"/>
          <w:sz w:val="20"/>
          <w:szCs w:val="20"/>
        </w:rPr>
        <w:t xml:space="preserve">INSTITUTO NACIONAL DO SEGURO SOCIAL — INSS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Equipe Técnica de Auditoria Previdenciária</w:t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1F3A5F"/>
          <w:sz w:val="32"/>
          <w:szCs w:val="32"/>
        </w:rPr>
        <w:t xml:space="preserve">RELATÓRIO DE PARECER AO BNDES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Análise previdenciária para fins de financiamento — Aurora Bioindustrial S.A.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Times New Roman" w:cs="Times New Roman" w:eastAsia="Times New Roman" w:hAnsi="Times New Roman"/>
          <w:color w:val="777777"/>
          <w:sz w:val="18"/>
          <w:szCs w:val="18"/>
        </w:rPr>
        <w:t xml:space="preserve">Objeto: pleito de R$ 85 milhões  |  Período analisado: 24 competências (jan/2024–dez/2025)</w:t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1. Identificação da empresa e do pleito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Aurora Bioindustrial S.A.</w:t>
            </w:r>
          </w:p>
        </w:tc>
      </w:tr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CNPJ (fictício)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48.732.910/0001-66</w:t>
            </w:r>
          </w:p>
        </w:tc>
      </w:tr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Setor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Alimentos, bioinsumos e embalagens sustentáveis</w:t>
            </w:r>
          </w:p>
        </w:tc>
      </w:tr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Uberaba, Minas Gerais</w:t>
            </w:r>
          </w:p>
        </w:tc>
      </w:tr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Quadro de pessoal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1.240 empregados diretos e 386 terceirizados permanentes</w:t>
            </w:r>
          </w:p>
        </w:tc>
      </w:tr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Porte econômico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Receita bruta R$ 612 mi/ano; EBITDA R$ 74 mi; 18 anos de operação</w:t>
            </w:r>
          </w:p>
        </w:tc>
      </w:tr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Pleito ao BNDES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R$ 85 milhões — modernização, automação e expansão de capacidade</w:t>
            </w:r>
          </w:p>
        </w:tc>
      </w:tr>
      <w:tr>
        <w:tc>
          <w:tcPr>
            <w:tcW w:type="dxa" w:w="312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Prazo solicitado</w:t>
            </w:r>
          </w:p>
        </w:tc>
        <w:tc>
          <w:tcPr>
            <w:tcW w:type="dxa" w:w="624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8 anos, com 24 meses de carência</w:t>
            </w:r>
          </w:p>
        </w:tc>
      </w:tr>
    </w:tbl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2. Sumário executivo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Aurora Bioindustrial S.A. é empresa economicamente relevante e geradora de emprego, porém apresenta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inconsistências previdenciárias materiais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exigem tratamento prévio à liberação de recursos públicos. Em 24 meses verificou-se diferença previdenciária acumulada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R$ 3,9 milhões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10 competências fora do padrão regular, divergências entre folha, eSocial e DCTFWeb, absenteísmo elevado nas áreas operacionais, indícios de subnotificação de CAT e passivo trabalhista subprovisionado em R$ 5,2 milhões. O score técnico de risco foi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60,75 pontos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(faixa “favorável com condicionantes”). Recomenda-se </w:t>
      </w:r>
      <w:r>
        <w:rPr>
          <w:rFonts w:ascii="Times New Roman" w:cs="Times New Roman" w:eastAsia="Times New Roman" w:hAnsi="Times New Roman"/>
          <w:b/>
          <w:bCs/>
          <w:color w:val="B9770E"/>
          <w:sz w:val="24"/>
          <w:szCs w:val="24"/>
        </w:rPr>
        <w:t xml:space="preserve">APROVAR COM CONDICIONANTES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regularização documentada dos pontos críticos.</w:t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3. Recolhimentos e obrigações acessórias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 24 competências, 14 foram recolhidas integralmente no prazo, 6 de forma parcial, 3 com atraso superior a 60 dias e 1 sem recolhimento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 meses (41,7%) com irregularidade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contribuição devida somou R$ 39,35 mi e o recolhido R$ 35,45 mi, confirmando a diferença de R$ 3,9 mi; os eventos mais graves ocorreram em nov/2024 (sem recolhimento, R$ 620 mil, 120 dias), jun/2024 (R$ 530 mil) e abr/2025 (R$ 460 mil). Somam-se divergências recorrentes entre folha, eSocial e DCTFWeb e indícios de falhas na base de adicionais, prêmios e remuneração variável — caracterizando, no mínimo,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falha de controle interno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cuja recorrência eleva o risco de insuficiência de recolhimento.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1800225"/>
            <wp:effectExtent t="0" r="0" b="0" l="0"/>
            <wp:docPr id="1" name="grafico" descr="grafico" title="gra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Gráfico 1 — Fonte: aba Recolhimentos. Barras coloridas pelo status de cada competência.</w:t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4. Absenteísmo e afastamentos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absenteísmo médio ponderado é de 6,25%, mas a Produção atinge 9,1% e a Logística 8,3%, em tendência de alta. Há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86 afastamentos acima de 15 dias e 31 casos com possível nexo ocupacional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 patamar e a concentração setorial sugerem adoecimento relacionado ao trabalho, com impacto direto sobre o custeio da seguridade (benefícios por incapacidade) e sobre a produtividade da operação a ser financiada.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1838325"/>
            <wp:effectExtent t="0" r="0" b="0" l="0"/>
            <wp:docPr id="1" name="grafico" descr="grafico" title="gra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Gráfico 2 — Fonte: aba Absenteismo. Linha tracejada: média geral de 6,25%.</w:t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5. Saúde, segurança e emissão de CAT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indicadores de SST superam os limites de atenção: 37 acidentes típicos (limite 25), taxa de frequência 5,8 (limite 4) e taxa de gravidade 224 (limite 180). Foram emitidas apenas 22 CATs — incompatível com os 31 afastamentos de possível nexo — e há </w:t>
      </w:r>
      <w:r>
        <w:rPr>
          <w:rFonts w:ascii="Times New Roman" w:cs="Times New Roman" w:eastAsia="Times New Roman" w:hAnsi="Times New Roman"/>
          <w:b/>
          <w:bCs/>
          <w:color w:val="C0392B"/>
          <w:sz w:val="24"/>
          <w:szCs w:val="24"/>
        </w:rPr>
        <w:t xml:space="preserve">9 suspeitas de subnotificação de CAT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Acresce a execução de só 63,5% das inspeções planejadas e 18% de treinamentos obrigatórios pendentes na produção. A subnotificação é irregular,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compromete a reputação previdenciária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pode mascarar passivo de benefícios.</w:t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6. Terceirização e contencioso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 cinco contratadas, duas concentram risco alto: Delta Serviços (regularidade parcial, sem comprovação em 4 competências) e Nexus Facilities (regularidade insuficiente, alta rotatividade e indícios de pejotização), ambas de alta dependência operacional;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subsidiária/solidária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contratante, suas pendências repercutem no parecer. No contencioso, há auto de infração (R$ 740 mil), notificação fiscal (R$ 1,2 mi) e 74 ações trabalhistas provisionadas em R$ 9,6 mi; a auditoria externa estima o passivo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R$ 14,8 mi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revelando </w:t>
      </w:r>
      <w:r>
        <w:rPr>
          <w:rFonts w:ascii="Times New Roman" w:cs="Times New Roman" w:eastAsia="Times New Roman" w:hAnsi="Times New Roman"/>
          <w:b/>
          <w:bCs/>
          <w:color w:val="C0392B"/>
          <w:sz w:val="24"/>
          <w:szCs w:val="24"/>
        </w:rPr>
        <w:t xml:space="preserve">R$ 5,2 mi sem provisão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7. Classificação de risco (score)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Aplicada a matriz ponderada do case, o score consolidado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60,75 / 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classificando a empresa como </w:t>
      </w:r>
      <w:r>
        <w:rPr>
          <w:rFonts w:ascii="Times New Roman" w:cs="Times New Roman" w:eastAsia="Times New Roman" w:hAnsi="Times New Roman"/>
          <w:b/>
          <w:bCs/>
          <w:color w:val="B9770E"/>
          <w:sz w:val="24"/>
          <w:szCs w:val="24"/>
        </w:rPr>
        <w:t xml:space="preserve">favorável com condicionantes (faixa 60–79)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Os critérios mais penalizados são contencioso/autuações (45% do peso) e gestão de terceiros (50%); governança e regularidade formal sustentam a nota.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grafico" descr="grafico" title="gra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Gráfico 3 — Fonte: aba Scoring. Esquerda: score na escala de faixas. Direita: aproveitamento por critério.</w:t>
      </w:r>
    </w:p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8. Matriz de achados (evidência, risco, impacto e recomendação)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2700"/>
        <w:gridCol w:w="1350"/>
        <w:gridCol w:w="1430"/>
        <w:gridCol w:w="2450"/>
      </w:tblGrid>
      <w:tr>
        <w:trPr>
          <w:tblHeader/>
        </w:trPr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Evidência (dados)</w:t>
            </w:r>
          </w:p>
        </w:tc>
        <w:tc>
          <w:tcPr>
            <w:tcW w:type="dxa" w:w="13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4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Recolhimentos</w:t>
            </w:r>
          </w:p>
        </w:tc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10 de 24 meses com recolhimento parcial, atraso ou ausência; diferença de R$ 3,9 mi</w:t>
            </w:r>
          </w:p>
        </w:tc>
        <w:tc>
          <w:tcPr>
            <w:tcW w:type="dxa" w:w="13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9"/>
                <w:szCs w:val="19"/>
              </w:rPr>
              <w:t xml:space="preserve">Alto</w:t>
            </w:r>
          </w:p>
        </w:tc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Regularidade e emissão de CND/CPEND comprometidas</w:t>
            </w:r>
          </w:p>
        </w:tc>
        <w:tc>
          <w:tcPr>
            <w:tcW w:type="dxa" w:w="24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Conciliar e quitar/parcelar antes da liberação</w:t>
            </w:r>
          </w:p>
        </w:tc>
      </w:tr>
      <w:tr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Obrigações acessórias</w:t>
            </w:r>
          </w:p>
        </w:tc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Divergências entre folha, eSocial e DCTFWeb; bases de adicionais sob suspeita</w:t>
            </w:r>
          </w:p>
        </w:tc>
        <w:tc>
          <w:tcPr>
            <w:tcW w:type="dxa" w:w="13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9"/>
                <w:szCs w:val="19"/>
              </w:rPr>
              <w:t xml:space="preserve">Alto</w:t>
            </w:r>
          </w:p>
        </w:tc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Risco de autuação e passivo adicional</w:t>
            </w:r>
          </w:p>
        </w:tc>
        <w:tc>
          <w:tcPr>
            <w:tcW w:type="dxa" w:w="24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Auditar fechamento de folha e corrigir bases</w:t>
            </w:r>
          </w:p>
        </w:tc>
      </w:tr>
      <w:tr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Absenteísmo</w:t>
            </w:r>
          </w:p>
        </w:tc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Média 6,25% (Produção 9,1%); 86 afastamentos &gt;15 dias e 31 com possível nexo</w:t>
            </w:r>
          </w:p>
        </w:tc>
        <w:tc>
          <w:tcPr>
            <w:tcW w:type="dxa" w:w="13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9770E"/>
                <w:sz w:val="19"/>
                <w:szCs w:val="19"/>
              </w:rPr>
              <w:t xml:space="preserve">Médio-Alto</w:t>
            </w:r>
          </w:p>
        </w:tc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Pressão no custeio do RGPS; adoecimento</w:t>
            </w:r>
          </w:p>
        </w:tc>
        <w:tc>
          <w:tcPr>
            <w:tcW w:type="dxa" w:w="24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Saúde ocupacional e ergonomia nas áreas críticas</w:t>
            </w:r>
          </w:p>
        </w:tc>
      </w:tr>
      <w:tr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SST / CAT</w:t>
            </w:r>
          </w:p>
        </w:tc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37 acidentes (limite 25); só 22 CATs; 9 suspeitas de subnotificação; treinamentos 18% pendentes</w:t>
            </w:r>
          </w:p>
        </w:tc>
        <w:tc>
          <w:tcPr>
            <w:tcW w:type="dxa" w:w="13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9"/>
                <w:szCs w:val="19"/>
              </w:rPr>
              <w:t xml:space="preserve">Alto</w:t>
            </w:r>
          </w:p>
        </w:tc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Fere obrigação legal e a reputação previdenciária</w:t>
            </w:r>
          </w:p>
        </w:tc>
        <w:tc>
          <w:tcPr>
            <w:tcW w:type="dxa" w:w="24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Regularizar CAT, treinar e inspecionar</w:t>
            </w:r>
          </w:p>
        </w:tc>
      </w:tr>
      <w:tr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Terceirização</w:t>
            </w:r>
          </w:p>
        </w:tc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Delta e Nexus com regularidade parcial/insuficiente e indício de pejotização</w:t>
            </w:r>
          </w:p>
        </w:tc>
        <w:tc>
          <w:tcPr>
            <w:tcW w:type="dxa" w:w="13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9"/>
                <w:szCs w:val="19"/>
              </w:rPr>
              <w:t xml:space="preserve">Alto</w:t>
            </w:r>
          </w:p>
        </w:tc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Responsabilidade subsidiária/solidária</w:t>
            </w:r>
          </w:p>
        </w:tc>
        <w:tc>
          <w:tcPr>
            <w:tcW w:type="dxa" w:w="24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Sanear em 30 dias; auditoria mensal</w:t>
            </w:r>
          </w:p>
        </w:tc>
      </w:tr>
      <w:tr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Contencioso</w:t>
            </w:r>
          </w:p>
        </w:tc>
        <w:tc>
          <w:tcPr>
            <w:tcW w:type="dxa" w:w="27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74 ações; estimativa externa R$ 14,8 mi vs. provisão R$ 9,6 mi (R$ 5,2 mi a descoberto)</w:t>
            </w:r>
          </w:p>
        </w:tc>
        <w:tc>
          <w:tcPr>
            <w:tcW w:type="dxa" w:w="13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9"/>
                <w:szCs w:val="19"/>
              </w:rPr>
              <w:t xml:space="preserve">Alto</w:t>
            </w:r>
          </w:p>
        </w:tc>
        <w:tc>
          <w:tcPr>
            <w:tcW w:type="dxa" w:w="143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Passivo subavaliado afeta a solvência</w:t>
            </w:r>
          </w:p>
        </w:tc>
        <w:tc>
          <w:tcPr>
            <w:tcW w:type="dxa" w:w="245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19"/>
                <w:szCs w:val="19"/>
              </w:rPr>
              <w:t xml:space="preserve">Reprovisionar e reportar evolução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1F3A5F"/>
          <w:sz w:val="26"/>
          <w:szCs w:val="26"/>
        </w:rPr>
        <w:t xml:space="preserve">9. Conclusão, recomendação e condicionantes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não revelam impedimento absoluto, mas tampouco atestam regularidade previdenciária plena. A diferença de R$ 3,9 mi, as divergências em obrigações acessórias, a subnotificação de CAT, o risco de terceiros e o passivo subprovisionado configuram risco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moderado a alto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coerente com o score de 60,75. Dada a relevância econômica e a capacidade de mitigação demonstrada (auditoria externa e plano de regularização em curso), a recomendação final é:</w:t>
      </w:r>
    </w:p>
    <w:p>
      <w:pPr>
        <w:pBdr>
          <w:top w:val="single" w:color="B9770E" w:sz="8" w:space="4"/>
          <w:left w:val="single" w:color="B9770E" w:sz="8" w:space="4"/>
          <w:bottom w:val="single" w:color="B9770E" w:sz="8" w:space="4"/>
          <w:right w:val="single" w:color="B9770E" w:sz="8" w:space="4"/>
        </w:pBdr>
        <w:shd w:fill="FBF1DD" w:val="clear"/>
        <w:spacing w:after="10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B9770E"/>
          <w:sz w:val="28"/>
          <w:szCs w:val="28"/>
        </w:rPr>
        <w:t xml:space="preserve">APROVAR COM CONDICIONANTES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Condicionantes a cumprir antes da liberação dos recursos: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Apresentação de CND/CPEND e quitação ou parcelamento da diferença previdenciária de R$ 3,9 mi.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Conciliação documentada entre folha, eSocial e DCTFWeb, com correção das bases de adicionais e prêmios.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Programa de SST para Produção e Logística, com metas de redução de absenteísmo e de afastamentos com nexo.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Regularização das CATs e apuração das 9 suspeitas de subnotificação; conclusão de treinamentos e inspeções.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Saneamento de Delta e Nexus em até 30 dias, com auditoria mensal e suspensão de novas alocações até regularizar.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Reprovisionamento do contencioso conforme a estimativa externa (R$ 14,8 mi), cobrindo os R$ 5,2 mi sem provisão.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Liberação em tranches, condicionando cada desembolso à verificação das condicionantes acima.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2CC" w:sz="4" w:space="2"/>
      </w:pBdr>
      <w:jc w:val="center"/>
    </w:pPr>
    <w:r>
      <w:rPr>
        <w:rFonts w:ascii="Times New Roman" w:cs="Times New Roman" w:eastAsia="Times New Roman" w:hAnsi="Times New Roman"/>
        <w:color w:val="777777"/>
        <w:sz w:val="16"/>
        <w:szCs w:val="16"/>
      </w:rPr>
      <w:t xml:space="preserve">Documento técnico de apoio à decisão de crédito — uso restrito.   Página </w:t>
    </w:r>
    <w:r>
      <w:rPr>
        <w:rFonts w:ascii="Times New Roman" w:cs="Times New Roman" w:eastAsia="Times New Roman" w:hAnsi="Times New Roman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77777"/>
        <w:sz w:val="16"/>
        <w:szCs w:val="16"/>
      </w:rPr>
      <w:t xml:space="preserve"> de </w:t>
    </w:r>
    <w:r>
      <w:rPr>
        <w:rFonts w:ascii="Times New Roman" w:cs="Times New Roman" w:eastAsia="Times New Roman" w:hAnsi="Times New Roman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2CC" w:sz="4" w:space="2"/>
      </w:pBdr>
      <w:spacing w:after="0"/>
      <w:jc w:val="right"/>
    </w:pPr>
    <w:r>
      <w:rPr>
        <w:rFonts w:ascii="Times New Roman" w:cs="Times New Roman" w:eastAsia="Times New Roman" w:hAnsi="Times New Roman"/>
        <w:color w:val="777777"/>
        <w:sz w:val="16"/>
        <w:szCs w:val="16"/>
      </w:rPr>
      <w:t xml:space="preserve">INSS — Parecer ao BNDES  |  Aurora Bioindustrial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72eacf4e9c004cd4e32d3e5bb195930fa4bc4a.png"/><Relationship Id="rId10" Type="http://schemas.openxmlformats.org/officeDocument/2006/relationships/image" Target="media/3cef02f868a08db88aa0c670af8d03f4afcd99e3.png"/><Relationship Id="rId11" Type="http://schemas.openxmlformats.org/officeDocument/2006/relationships/image" Target="media/ea31ff6dadfcf1ad016e58c4b661fc0bbaedc37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Parecer ao BNDES — Aurora Bioindustrial S.A.</dc:title>
  <dc:creator>INSS — Equipe Técnica de Auditoria Previdenciária</dc:creator>
  <cp:lastModifiedBy>Un-named</cp:lastModifiedBy>
  <cp:revision>1</cp:revision>
  <dcterms:created xsi:type="dcterms:W3CDTF">2026-06-27T21:35:00.813Z</dcterms:created>
  <dcterms:modified xsi:type="dcterms:W3CDTF">2026-06-27T21:35:00.813Z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