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INSTITUTO NACIONAL DO SEGURO SOCIAL — INSS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20"/>
          <w:szCs w:val="20"/>
        </w:rPr>
        <w:t xml:space="preserve">Equipe Técnica de Auditoria Previdenciária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RELATÓRIO DE PARECER AO BNDES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Análise previdenciária para fins de financiamento — Aurora Bioindustrial S.A.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1. Identificação da empresa e do pleito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Aurora Bioindustrial S.A.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CNPJ (fictício)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48.732.910/0001-66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Setor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Indústria de alimentos, bioinsumos e embalagens sustentáveis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Uberaba, Minas Gerais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Quadro de pessoal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1.240 empregados diretos e 386 terceirizados permanentes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Porte econômico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Receita bruta R$ 612 mi/ano; EBITDA R$ 74 mi; 18 anos de operação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Pleito ao BNDES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R$ 85 milhões — modernização, automação e expansão de capacidade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Prazo solicitado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 anos, com 24 meses de carência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Período analisado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 competências (jan/2024 a dez/2025)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2. Sumário executivo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Aurora Bioindustrial S.A. é empresa economicamente relevante e geradora de emprego, porém apresenta inconsistências previdenciárias materiais que exigem tratamento prévio à liberação de recursos públicos. Em 24 competências verificou-se diferença previdenciária acumulada de R$ 3,9 milhões (9,9% da contribuição devida), com 10 meses fora do padrão regular, divergências entre folha, eSocial e DCTFWeb, absenteísmo elevado nas áreas operacionais, indícios de subnotificação de CAT e passivo trabalhista subprovisionado em R$ 5,2 milhões. O score técnico de risco é de 60,75 pontos (faixa “favorável com condicionantes”). Recomenda-se APROVAR COM CONDICIONANTES, mediante regularização documentada dos pontos críticos.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3. Recolhimentos e obrigações acessórias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Das 24 competências, 14 foram recolhidas integralmente no prazo, 6 de forma parcial, 3 com atraso superior a 60 dias e 1 sem recolhimento — 10 meses (41,7%) com irregularidade. A contribuição devida somou R$ 39,35 milhões e a recolhida R$ 35,45 milhões, confirmando a diferença de R$ 3,90 milhões; os eventos mais graves ocorreram em nov/2024 (sem recolhimento, R$ 620 mil, 120 dias), jun/2024 (atraso, R$ 530 mil) e abr/2025 (atraso, R$ 460 mil). Somam-se divergências recorrentes entre folha, eSocial e DCTFWeb e indícios de falhas na base de adicionais, prêmios e remuneração variável — caracterizando, no mínimo, falha de controle interno, cuja recorrência eleva o risco de insuficiência de recolhimento.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4. Absenteísmo e afastamentos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absenteísmo médio ponderado é de 6,25%, mas a Produção atinge 9,1% e a Logística 8,3%, em tendência de alta. Há 86 afastamentos acima de 15 dias e 31 casos com possível nexo ocupacional. O patamar e a concentração setorial sugerem adoecimento relacionado ao trabalho, com impacto direto sobre o custeio da seguridade (benefícios por incapacidade) e sobre a produtividade da operação a ser financiada.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5. Saúde, segurança e emissão de CAT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indicadores de SST superam os limites de atenção: 37 acidentes típicos (limite 25), taxa de frequência 5,8 (limite 4) e taxa de gravidade 224 (limite 180). Foram emitidas apenas 22 CATs — incompatível com os 31 afastamentos de possível nexo — e há 9 suspeitas de subnotificação. Acresce a execução de apenas 63,5% das inspeções planejadas e 18% de treinamentos obrigatórios pendentes na produção. A subnotificação é irregular, compromete a reputação previdenciária e pode mascarar passivo de benefícios acidentários.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6. Terceirização e contencioso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Das cinco contratadas, duas concentram risco alto: Delta Serviços (regularidade parcial, sem comprovação em quatro competências) e Nexus Facilities (regularidade insuficiente, alta rotatividade e indícios de pejotização), ambas de alta dependência operacional; pela responsabilidade subsidiária/solidária da tomadora, suas pendências repercutem no parecer. No contencioso, há auto de infração previdenciário (R$ 740 mil), notificação fiscal (R$ 1,2 mi) e 74 ações trabalhistas provisionadas em R$ 9,6 mi; a auditoria externa estima o passivo em R$ 14,8 mi, revelando R$ 5,2 mi sem provisão.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7. Classificação de risco (score)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Aplicada a matriz ponderada do case, o score consolidado é de 60,75/100, classificando a empresa como favorável com condicionantes (faixa 60–79). Os critérios de menor aproveitamento são histórico de autuações/contencioso (45%) e gestão de terceiros (50%); governança e regularidade formal sustentam a nota.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8. Matriz de achados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100"/>
        <w:gridCol w:w="2400"/>
        <w:gridCol w:w="2400"/>
      </w:tblGrid>
      <w:tr>
        <w:trPr>
          <w:tblHeader/>
        </w:trPr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Evidência (dados)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Recomendação / Condicionante</w:t>
            </w:r>
          </w:p>
        </w:tc>
      </w:tr>
      <w:tr>
        <w:trPr>
          <w:tblHeader w:val="false"/>
        </w:trPr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Recolhimentos: 10 de 24 competências parciais, em atraso (&gt;60d) ou sem recolhimento; diferença de R$ 3,9 mi (devida R$ 39,35 mi × recolhida R$ 35,45 mi)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Perda de regularidade (CND/CPEND); risco de execução fiscal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Conciliar folha × DCTFWeb e quitar/parcelar antes da liberação</w:t>
            </w:r>
          </w:p>
        </w:tc>
      </w:tr>
      <w:tr>
        <w:trPr>
          <w:tblHeader w:val="false"/>
        </w:trPr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Acessórias: divergências folha × eSocial × DCTFWeb em 10 competências; falhas na base de adicionais, prêmios e variável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Subdeclaração e autuação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Auditar o fechamento de folha e retificar as bases</w:t>
            </w:r>
          </w:p>
        </w:tc>
      </w:tr>
      <w:tr>
        <w:trPr>
          <w:tblHeader w:val="false"/>
        </w:trPr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Absenteísmo: média 6,25%, com Produção 9,1% e Logística 8,3%; 86 afastamentos &gt;15 dias e 31 com possível nexo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Médio-Alto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Transferência de custo ao RGPS (benefícios por incapacidade); adoecimento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Programa de saúde ocupacional e ergonomia nas áreas críticas</w:t>
            </w:r>
          </w:p>
        </w:tc>
      </w:tr>
      <w:tr>
        <w:trPr>
          <w:tblHeader w:val="false"/>
        </w:trPr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SST/CAT: 37 acidentes (limite 25); só 22 CATs para 31 nexos; 9 suspeitas de subnotificação; treinamentos 18% pendentes; inspeções a 63,5%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Mascara o acidentário (B91); distorce o FAP; fere obrigação legal e a reputação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Emitir CAT retroativas, revisar NTEP, treinar e inspecionar</w:t>
            </w:r>
          </w:p>
        </w:tc>
      </w:tr>
      <w:tr>
        <w:trPr>
          <w:tblHeader w:val="false"/>
        </w:trPr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Terceiros: Delta (parcial, sem comprovação em 4 comp.) e Nexus (insuficiente, indício de pejotização) — 214 trabalhadores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Responsabilidade subsidiária/solidária do tomador; risco de vínculo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Sanear Delta em 30 dias; suspender alocações da Nexus até regularizar</w:t>
            </w:r>
          </w:p>
        </w:tc>
      </w:tr>
      <w:tr>
        <w:trPr>
          <w:tblHeader w:val="false"/>
        </w:trPr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Contencioso: 74 ações; provisão R$ 9,6 mi × estimativa externa R$ 14,8 mi (R$ 5,2 mi a descoberto)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Passivo subavaliado afeta a solvência e a capacidade de pagamento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Reprovisionar conforme estimativa externa e reportar evolução</w:t>
            </w:r>
          </w:p>
        </w:tc>
      </w:tr>
      <w:tr>
        <w:trPr>
          <w:tblHeader w:val="false"/>
        </w:trPr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Score técnico consolidado: 60,75/100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Faixa 60–79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Aprovação viável, porém condicionada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Liberar em tranches vinculadas a marcos de regularização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9. Respostas às dez perguntas orientadoras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 Regularidade previdenciária suficiente para financiamento público?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 plena. 10/24 competências irregulares e diferença de R$ 3,9 mi impedem a regularidade formal sem saneamento prévio.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2. A diferença de R$ 3,9 mi é relevante?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Sim. Equivale a 9,9% da contribuição devida no período e é recorrente — material para a análise.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3. As divergências folha/eSocial/DCTFWeb indicam erro, falha de controle ou sonegação?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Predominam falha de controle interno e subdeclaração de bases (adicionais/prêmios); a recorrência exige investigação, sem prova de dolo nos dados.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4. Absenteísmo e nexo ocupacional são risco à seguridade?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Sim. Concentração em Produção/Logística e 31 nexos pressionam o custeio do RGPS via benefícios por incapacidade.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5. A subnotificação de CAT afeta a reputação previdenciária?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Sim. 22 CATs para 31 nexos e 9 suspeitas mascaram acidentário, distorcem o FAP e comprometem a reputação.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6. Os problemas dos terceiros influenciam o parecer?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Sim. Pela responsabilidade subsidiária/solidária, as pendências de Delta e Nexus repercutem sobre a tomadora.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7. O histórico de autuações e ações justifica restrição?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Sim, restrição parcial. Auto de infração, notificação fiscal e 74 ações com R$ 5,2 mi sem provisão recomendam cautela.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8. O plano de regularização é suficiente?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Parcialmente. Há capacidade de mitigação (auditoria externa, plano em curso), mas insuficiente sem as condicionantes e prazos.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9. Quais condicionantes exigir antes da liberação?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 sete listadas na conclusão (quitação, conciliação, SST/CAT, terceiros, reprovisionamento e liberação em tranches).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 Recomendação final?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APROVAR COM CONDICIONANTES, coerente com o score 60,75 e com a reversibilidade dos achados.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10. Conclusão, recomendação e condicionantes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dados não revelam impedimento absoluto, mas tampouco atestam regularidade previdenciária plena. A diferença de R$ 3,9 milhões, as divergências em obrigações acessórias, a subnotificação de CAT, o risco de terceiros e o passivo subprovisionado configuram risco moderado a alto, coerente com o score de 60,75. Dada a relevância econômica e a capacidade de mitigação demonstrada (auditoria externa e plano de regularização em curso), a recomendação final é: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APROVAR COM CONDICIONANTES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Condicionantes a cumprir antes da liberação dos recursos: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Apresentação de CND/CPEND e quitação ou parcelamento da diferença previdenciária de R$ 3,9 milhões.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Conciliação documentada entre folha, eSocial e DCTFWeb, com correção das bases de adicionais e prêmios.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 de SST para Produção e Logística, com metas de redução de absenteísmo e de afastamentos com nexo.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Regularização das CATs e apuração das 9 suspeitas de subnotificação; conclusão de treinamentos e inspeções.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Saneamento de Delta e Nexus em até 30 dias, com auditoria mensal e suspensão de novas alocações até regularizar.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Reprovisionamento do contencioso conforme a estimativa externa (R$ 14,8 mi), cobrindo os R$ 5,2 mi sem provisão.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Liberação em tranches, condicionando cada desembolso à verificação das condicionantes acima.</w:t>
      </w:r>
    </w:p>
    <w:p>
      <w:pPr>
        <w:spacing w:after="60" w:before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Sob a ótica ESG, os achados concentram-se nas dimensões Social — absenteísmo elevado, afastamentos com possível nexo ocupacional e subnotificação de CAT — e de Governança — divergências entre folha, eSocial e DCTFWeb, diferença previdenciária de R$ 3,9 milhões e integridade na concessão de crédito público —, fatores que fundamentam condicionar a liberação dos recursos.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Parecer ao BNDES — Aurora Bioindustrial S.A.   |   Página </w:t>
    </w:r>
    <w:r>
      <w:rPr>
        <w:rFonts w:ascii="Times New Roman" w:cs="Times New Roman" w:eastAsia="Times New Roman" w:hAnsi="Times New Roman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 de </w:t>
    </w:r>
    <w:r>
      <w:rPr>
        <w:rFonts w:ascii="Times New Roman" w:cs="Times New Roman" w:eastAsia="Times New Roman" w:hAnsi="Times New Roman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2"/>
      </w:pBdr>
      <w:jc w:val="right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INSS — Equipe Técnica de Auditoria Previdenciária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1b03fc8d677b8187f81bdc6e250dc79de2f09c.png"/><Relationship Id="rId10" Type="http://schemas.openxmlformats.org/officeDocument/2006/relationships/image" Target="media/ca9f1b56748afb65fd4bf5e4a92326d70c5a554f.png"/><Relationship Id="rId11" Type="http://schemas.openxmlformats.org/officeDocument/2006/relationships/image" Target="media/57475c2e5e2ad1a205136414935104fa4c32104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2026-06-27T22:05:25.525Z</dcterms:created>
  <dcterms:modified xsi:type="dcterms:W3CDTF">2026-06-27T22:05:25.526Z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