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Posture Monitor Conference Review Report</w:t>
      </w:r>
    </w:p>
    <w:p>
      <w:pPr>
        <w:spacing w:after="320"/>
        <w:jc w:val="center"/>
      </w:pPr>
      <w:r>
        <w:rPr>
          <w:i/>
          <w:sz w:val="22"/>
        </w:rPr>
        <w:t>Architecture implementation evidence limitations and demonstration checklist</w:t>
      </w:r>
    </w:p>
    <w:p>
      <w:pPr>
        <w:pStyle w:val="Heading1"/>
      </w:pPr>
      <w:r>
        <w:t>Executive Summary</w:t>
      </w:r>
    </w:p>
    <w:p>
      <w:r>
        <w:t>Posture Monitor is a working static web application that performs pose estimation and posture classification in the browser. The current implementation uses MediaPipe Pose, normalized face and shoulder geometry, and user calibration. It does not upload camera frames or require an application backend. The classifier is heuristic and should be presented as a posture aid rather than a trained medical or diagnostic model.</w:t>
      </w:r>
    </w:p>
    <w:p>
      <w:pPr>
        <w:pStyle w:val="Heading1"/>
      </w:pPr>
      <w:r>
        <w:t>System Architecture</w:t>
      </w:r>
    </w:p>
    <w:p>
      <w:r>
        <w:t>Camera frame  &gt;  MediaPipe Pose  &gt;  upper body validation  &gt;  f1 and f2 feature calculation  &gt;  calibrated threshold classification  &gt;  status counters and canvas</w:t>
      </w:r>
    </w:p>
    <w:p>
      <w:r>
        <w:t>The browser owns the complete runtime path. It requests one camera stream, displays a preview while MediaPipe initializes, and then sends frames through a sequential request-animation-frame loop. This avoids duplicate camera streams and overlapping pose requests.</w:t>
      </w:r>
    </w:p>
    <w:p>
      <w:pPr>
        <w:pStyle w:val="Heading1"/>
      </w:pPr>
      <w:r>
        <w:t>Implementation Modules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c>
          <w:tcPr>
            <w:tcW w:type="dxa" w:w="1728"/>
            <w:vAlign w:val="center"/>
            <w:shd w:fill="17365D"/>
            <w:tcMar>
              <w:top w:w="110" w:type="dxa"/>
              <w:start w:w="130" w:type="dxa"/>
              <w:bottom w:w="110" w:type="dxa"/>
              <w:end w:w="130" w:type="dxa"/>
            </w:tcMar>
          </w:tcPr>
          <w:p>
            <w:pPr>
              <w:jc w:val="center"/>
            </w:pPr>
            <w:r>
              <w:rPr>
                <w:b/>
                <w:color w:val="FFFFFF"/>
              </w:rPr>
              <w:t>Module</w:t>
            </w:r>
          </w:p>
        </w:tc>
        <w:tc>
          <w:tcPr>
            <w:tcW w:type="dxa" w:w="2952"/>
            <w:vAlign w:val="center"/>
            <w:shd w:fill="17365D"/>
            <w:tcMar>
              <w:top w:w="110" w:type="dxa"/>
              <w:start w:w="130" w:type="dxa"/>
              <w:bottom w:w="110" w:type="dxa"/>
              <w:end w:w="130" w:type="dxa"/>
            </w:tcMar>
          </w:tcPr>
          <w:p>
            <w:pPr>
              <w:jc w:val="center"/>
            </w:pPr>
            <w:r>
              <w:rPr>
                <w:b/>
                <w:color w:val="FFFFFF"/>
              </w:rPr>
              <w:t>Files or function</w:t>
            </w:r>
          </w:p>
        </w:tc>
        <w:tc>
          <w:tcPr>
            <w:tcW w:type="dxa" w:w="5256"/>
            <w:vAlign w:val="center"/>
            <w:shd w:fill="17365D"/>
            <w:tcMar>
              <w:top w:w="110" w:type="dxa"/>
              <w:start w:w="130" w:type="dxa"/>
              <w:bottom w:w="110" w:type="dxa"/>
              <w:end w:w="130" w:type="dxa"/>
            </w:tcMar>
          </w:tcPr>
          <w:p>
            <w:pPr>
              <w:jc w:val="center"/>
            </w:pPr>
            <w:r>
              <w:rPr>
                <w:b/>
                <w:color w:val="FFFFFF"/>
              </w:rPr>
              <w:t>Responsibility</w:t>
            </w:r>
          </w:p>
        </w:tc>
      </w:tr>
      <w:tr>
        <w:tc>
          <w:tcPr>
            <w:tcW w:type="dxa" w:w="1728"/>
            <w:vAlign w:val="center"/>
            <w:tcMar>
              <w:top w:w="110" w:type="dxa"/>
              <w:start w:w="130" w:type="dxa"/>
              <w:bottom w:w="110" w:type="dxa"/>
              <w:end w:w="130" w:type="dxa"/>
            </w:tcMar>
          </w:tcPr>
          <w:p>
            <w:r>
              <w:t>Interface</w:t>
            </w:r>
          </w:p>
        </w:tc>
        <w:tc>
          <w:tcPr>
            <w:tcW w:type="dxa" w:w="2952"/>
            <w:vAlign w:val="center"/>
            <w:tcMar>
              <w:top w:w="110" w:type="dxa"/>
              <w:start w:w="130" w:type="dxa"/>
              <w:bottom w:w="110" w:type="dxa"/>
              <w:end w:w="130" w:type="dxa"/>
            </w:tcMar>
          </w:tcPr>
          <w:p>
            <w:r>
              <w:t>index.html and style.css</w:t>
            </w:r>
          </w:p>
        </w:tc>
        <w:tc>
          <w:tcPr>
            <w:tcW w:type="dxa" w:w="5256"/>
            <w:vAlign w:val="center"/>
            <w:tcMar>
              <w:top w:w="110" w:type="dxa"/>
              <w:start w:w="130" w:type="dxa"/>
              <w:bottom w:w="110" w:type="dxa"/>
              <w:end w:w="130" w:type="dxa"/>
            </w:tcMar>
          </w:tcPr>
          <w:p>
            <w:r>
              <w:t>Camera view, status, calibration control, and session metrics</w:t>
            </w:r>
          </w:p>
        </w:tc>
      </w:tr>
      <w:tr>
        <w:tc>
          <w:tcPr>
            <w:tcW w:type="dxa" w:w="1728"/>
            <w:vAlign w:val="center"/>
            <w:tcMar>
              <w:top w:w="110" w:type="dxa"/>
              <w:start w:w="130" w:type="dxa"/>
              <w:bottom w:w="110" w:type="dxa"/>
              <w:end w:w="130" w:type="dxa"/>
            </w:tcMar>
            <w:shd w:fill="EAF2F8"/>
          </w:tcPr>
          <w:p>
            <w:r>
              <w:t>Tracking</w:t>
            </w:r>
          </w:p>
        </w:tc>
        <w:tc>
          <w:tcPr>
            <w:tcW w:type="dxa" w:w="2952"/>
            <w:vAlign w:val="center"/>
            <w:tcMar>
              <w:top w:w="110" w:type="dxa"/>
              <w:start w:w="130" w:type="dxa"/>
              <w:bottom w:w="110" w:type="dxa"/>
              <w:end w:w="130" w:type="dxa"/>
            </w:tcMar>
            <w:shd w:fill="EAF2F8"/>
          </w:tcPr>
          <w:p>
            <w:r>
              <w:t>script.js and MediaPipe Pose</w:t>
            </w:r>
          </w:p>
        </w:tc>
        <w:tc>
          <w:tcPr>
            <w:tcW w:type="dxa" w:w="5256"/>
            <w:vAlign w:val="center"/>
            <w:tcMar>
              <w:top w:w="110" w:type="dxa"/>
              <w:start w:w="130" w:type="dxa"/>
              <w:bottom w:w="110" w:type="dxa"/>
              <w:end w:w="130" w:type="dxa"/>
            </w:tcMar>
            <w:shd w:fill="EAF2F8"/>
          </w:tcPr>
          <w:p>
            <w:r>
              <w:t>Estimates landmarks and draws the live skeleton</w:t>
            </w:r>
          </w:p>
        </w:tc>
      </w:tr>
      <w:tr>
        <w:tc>
          <w:tcPr>
            <w:tcW w:type="dxa" w:w="1728"/>
            <w:vAlign w:val="center"/>
            <w:tcMar>
              <w:top w:w="110" w:type="dxa"/>
              <w:start w:w="130" w:type="dxa"/>
              <w:bottom w:w="110" w:type="dxa"/>
              <w:end w:w="130" w:type="dxa"/>
            </w:tcMar>
          </w:tcPr>
          <w:p>
            <w:r>
              <w:t>Validation</w:t>
            </w:r>
          </w:p>
        </w:tc>
        <w:tc>
          <w:tcPr>
            <w:tcW w:type="dxa" w:w="2952"/>
            <w:vAlign w:val="center"/>
            <w:tcMar>
              <w:top w:w="110" w:type="dxa"/>
              <w:start w:w="130" w:type="dxa"/>
              <w:bottom w:w="110" w:type="dxa"/>
              <w:end w:w="130" w:type="dxa"/>
            </w:tcMar>
          </w:tcPr>
          <w:p>
            <w:r>
              <w:t>isRealHumanUpperBody</w:t>
            </w:r>
          </w:p>
        </w:tc>
        <w:tc>
          <w:tcPr>
            <w:tcW w:type="dxa" w:w="5256"/>
            <w:vAlign w:val="center"/>
            <w:tcMar>
              <w:top w:w="110" w:type="dxa"/>
              <w:start w:w="130" w:type="dxa"/>
              <w:bottom w:w="110" w:type="dxa"/>
              <w:end w:w="130" w:type="dxa"/>
            </w:tcMar>
          </w:tcPr>
          <w:p>
            <w:r>
              <w:t>Rejects frames without plausible face and shoulder geometry</w:t>
            </w:r>
          </w:p>
        </w:tc>
      </w:tr>
      <w:tr>
        <w:tc>
          <w:tcPr>
            <w:tcW w:type="dxa" w:w="1728"/>
            <w:vAlign w:val="center"/>
            <w:tcMar>
              <w:top w:w="110" w:type="dxa"/>
              <w:start w:w="130" w:type="dxa"/>
              <w:bottom w:w="110" w:type="dxa"/>
              <w:end w:w="130" w:type="dxa"/>
            </w:tcMar>
            <w:shd w:fill="EAF2F8"/>
          </w:tcPr>
          <w:p>
            <w:r>
              <w:t>Classification</w:t>
            </w:r>
          </w:p>
        </w:tc>
        <w:tc>
          <w:tcPr>
            <w:tcW w:type="dxa" w:w="2952"/>
            <w:vAlign w:val="center"/>
            <w:tcMar>
              <w:top w:w="110" w:type="dxa"/>
              <w:start w:w="130" w:type="dxa"/>
              <w:bottom w:w="110" w:type="dxa"/>
              <w:end w:w="130" w:type="dxa"/>
            </w:tcMar>
            <w:shd w:fill="EAF2F8"/>
          </w:tcPr>
          <w:p>
            <w:r>
              <w:t>predictPosture</w:t>
            </w:r>
          </w:p>
        </w:tc>
        <w:tc>
          <w:tcPr>
            <w:tcW w:type="dxa" w:w="5256"/>
            <w:vAlign w:val="center"/>
            <w:tcMar>
              <w:top w:w="110" w:type="dxa"/>
              <w:start w:w="130" w:type="dxa"/>
              <w:bottom w:w="110" w:type="dxa"/>
              <w:end w:w="130" w:type="dxa"/>
            </w:tcMar>
            <w:shd w:fill="EAF2F8"/>
          </w:tcPr>
          <w:p>
            <w:r>
              <w:t>Compares normalized geometry with the active baseline</w:t>
            </w:r>
          </w:p>
        </w:tc>
      </w:tr>
      <w:tr>
        <w:tc>
          <w:tcPr>
            <w:tcW w:type="dxa" w:w="1728"/>
            <w:vAlign w:val="center"/>
            <w:tcMar>
              <w:top w:w="110" w:type="dxa"/>
              <w:start w:w="130" w:type="dxa"/>
              <w:bottom w:w="110" w:type="dxa"/>
              <w:end w:w="130" w:type="dxa"/>
            </w:tcMar>
          </w:tcPr>
          <w:p>
            <w:r>
              <w:t>Reference data</w:t>
            </w:r>
          </w:p>
        </w:tc>
        <w:tc>
          <w:tcPr>
            <w:tcW w:type="dxa" w:w="2952"/>
            <w:vAlign w:val="center"/>
            <w:tcMar>
              <w:top w:w="110" w:type="dxa"/>
              <w:start w:w="130" w:type="dxa"/>
              <w:bottom w:w="110" w:type="dxa"/>
              <w:end w:w="130" w:type="dxa"/>
            </w:tcMar>
          </w:tcPr>
          <w:p>
            <w:r>
              <w:t>data/hf_posture_dataset.csv</w:t>
            </w:r>
          </w:p>
        </w:tc>
        <w:tc>
          <w:tcPr>
            <w:tcW w:type="dxa" w:w="5256"/>
            <w:vAlign w:val="center"/>
            <w:tcMar>
              <w:top w:w="110" w:type="dxa"/>
              <w:start w:w="130" w:type="dxa"/>
              <w:bottom w:w="110" w:type="dxa"/>
              <w:end w:w="130" w:type="dxa"/>
            </w:tcMar>
          </w:tcPr>
          <w:p>
            <w:r>
              <w:t>Supports exploration but does not train the live classifier</w:t>
            </w:r>
          </w:p>
        </w:tc>
      </w:tr>
      <w:tr>
        <w:tc>
          <w:tcPr>
            <w:tcW w:type="dxa" w:w="1728"/>
            <w:vAlign w:val="center"/>
            <w:tcMar>
              <w:top w:w="110" w:type="dxa"/>
              <w:start w:w="130" w:type="dxa"/>
              <w:bottom w:w="110" w:type="dxa"/>
              <w:end w:w="130" w:type="dxa"/>
            </w:tcMar>
            <w:shd w:fill="EAF2F8"/>
          </w:tcPr>
          <w:p>
            <w:r>
              <w:t>Documentation</w:t>
            </w:r>
          </w:p>
        </w:tc>
        <w:tc>
          <w:tcPr>
            <w:tcW w:type="dxa" w:w="2952"/>
            <w:vAlign w:val="center"/>
            <w:tcMar>
              <w:top w:w="110" w:type="dxa"/>
              <w:start w:w="130" w:type="dxa"/>
              <w:bottom w:w="110" w:type="dxa"/>
              <w:end w:w="130" w:type="dxa"/>
            </w:tcMar>
            <w:shd w:fill="EAF2F8"/>
          </w:tcPr>
          <w:p>
            <w:r>
              <w:t>docs and tools/generate_docs.py</w:t>
            </w:r>
          </w:p>
        </w:tc>
        <w:tc>
          <w:tcPr>
            <w:tcW w:type="dxa" w:w="5256"/>
            <w:vAlign w:val="center"/>
            <w:tcMar>
              <w:top w:w="110" w:type="dxa"/>
              <w:start w:w="130" w:type="dxa"/>
              <w:bottom w:w="110" w:type="dxa"/>
              <w:end w:w="130" w:type="dxa"/>
            </w:tcMar>
            <w:shd w:fill="EAF2F8"/>
          </w:tcPr>
          <w:p>
            <w:r>
              <w:t>Keeps project reports reproducible</w:t>
            </w:r>
          </w:p>
        </w:tc>
      </w:tr>
    </w:tbl>
    <w:p>
      <w:pPr>
        <w:pStyle w:val="Heading1"/>
      </w:pPr>
      <w:r>
        <w:t>Geometric Classification</w:t>
      </w:r>
    </w:p>
    <w:p>
      <w:r>
        <w:t>The application derives two scale-independent ratios. Feature f1 is the absolute difference between the left and right face-to-shoulder distances, multiplied by ten and divided by shoulder width. Feature f2 is the sum of those face-to-shoulder distances divided by shoulder width.</w:t>
      </w:r>
    </w:p>
    <w:p>
      <w:r>
        <w:t>A calibration action stores the current f1 and f2 values as the user's upright baseline. The classifier reports slouching when f2 falls sufficiently below that baseline and leaning when f1 moves sufficiently far from it. Calibration remains disabled until a valid upper body measurement is available.</w:t>
      </w:r>
    </w:p>
    <w:p>
      <w:pPr>
        <w:pStyle w:val="Heading1"/>
        <w:pageBreakBefore/>
      </w:pPr>
      <w:r>
        <w:t>Human Validation</w:t>
      </w:r>
    </w:p>
    <w:p>
      <w:pPr>
        <w:pStyle w:val="ListBullet"/>
      </w:pPr>
      <w:r>
        <w:t>Requires strong visibility for the nose eyes and shoulders.</w:t>
      </w:r>
    </w:p>
    <w:p>
      <w:pPr>
        <w:pStyle w:val="ListBullet"/>
      </w:pPr>
      <w:r>
        <w:t>Requires at least one visible ear.</w:t>
      </w:r>
    </w:p>
    <w:p>
      <w:pPr>
        <w:pStyle w:val="ListBullet"/>
      </w:pPr>
      <w:r>
        <w:t>Checks that the shoulders appear below the nose.</w:t>
      </w:r>
    </w:p>
    <w:p>
      <w:pPr>
        <w:pStyle w:val="ListBullet"/>
      </w:pPr>
      <w:r>
        <w:t>Rejects implausibly narrow shoulder spans.</w:t>
      </w:r>
    </w:p>
    <w:p>
      <w:pPr>
        <w:pStyle w:val="ListBullet"/>
      </w:pPr>
      <w:r>
        <w:t>Checks the head-to-shoulder distance ratio.</w:t>
      </w:r>
    </w:p>
    <w:p>
      <w:pPr>
        <w:pStyle w:val="Heading1"/>
      </w:pPr>
      <w:r>
        <w:t>Reference Dataset</w:t>
      </w:r>
    </w:p>
    <w:p>
      <w:r>
        <w:t>The included ConfiDetect CSV contains 5,949 data records and uses Upright, Stiff, and Slouched posture labels. It does not contain a lateral-lean class, and its columns do not reproduce the live f1 and f2 features. It is retained for exploration and reproducibility but is not claimed as training data for the browser classifier.</w:t>
      </w:r>
    </w:p>
    <w:p>
      <w:pPr>
        <w:pStyle w:val="Heading1"/>
      </w:pPr>
      <w:r>
        <w:t>Demonstration Checklist</w:t>
      </w:r>
    </w:p>
    <w:p>
      <w:pPr>
        <w:pStyle w:val="ListBullet"/>
      </w:pPr>
      <w:r>
        <w:t>Serve the project through localhost or HTTPS and allow camera access.</w:t>
      </w:r>
    </w:p>
    <w:p>
      <w:pPr>
        <w:pStyle w:val="ListBullet"/>
      </w:pPr>
      <w:r>
        <w:t>Show the preview and wait for the upper body validation message to clear.</w:t>
      </w:r>
    </w:p>
    <w:p>
      <w:pPr>
        <w:pStyle w:val="ListBullet"/>
      </w:pPr>
      <w:r>
        <w:t>Sit upright and select Calibrate posture.</w:t>
      </w:r>
    </w:p>
    <w:p>
      <w:pPr>
        <w:pStyle w:val="ListBullet"/>
      </w:pPr>
      <w:r>
        <w:t>Demonstrate upright slouch and lateral lean states.</w:t>
      </w:r>
    </w:p>
    <w:p>
      <w:pPr>
        <w:pStyle w:val="ListBullet"/>
      </w:pPr>
      <w:r>
        <w:t>Show that counters increment once per transition rather than once per frame.</w:t>
      </w:r>
    </w:p>
    <w:p>
      <w:pPr>
        <w:pStyle w:val="ListBullet"/>
      </w:pPr>
      <w:r>
        <w:t>Explain that session values reset on page reload.</w:t>
      </w:r>
    </w:p>
    <w:p>
      <w:pPr>
        <w:pStyle w:val="Heading1"/>
      </w:pPr>
      <w:r>
        <w:t>Known Limitations</w:t>
      </w:r>
    </w:p>
    <w:p>
      <w:pPr>
        <w:pStyle w:val="ListBullet"/>
      </w:pPr>
      <w:r>
        <w:t>Classification quality depends on lighting camera placement clothing and visibility.</w:t>
      </w:r>
    </w:p>
    <w:p>
      <w:pPr>
        <w:pStyle w:val="ListBullet"/>
      </w:pPr>
      <w:r>
        <w:t>The default thresholds require user testing and are not clinical thresholds.</w:t>
      </w:r>
    </w:p>
    <w:p>
      <w:pPr>
        <w:pStyle w:val="ListBullet"/>
      </w:pPr>
      <w:r>
        <w:t>MediaPipe assets and fonts are loaded from third-party content delivery networks.</w:t>
      </w:r>
    </w:p>
    <w:p>
      <w:pPr>
        <w:pStyle w:val="ListBullet"/>
      </w:pPr>
      <w:r>
        <w:t>No long-term history persistence notification system or multi-user profile is included.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Posture Monitor Conference Review Report</dc:title>
  <dc:subject>Implementation and architecture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