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24 October 2026: the V21 review finds pressure increases when glasses miss the 18 or 32 mm soft zones. No zone is a final winner. The shared headset passes six finer stress checks but still fails both adult fork checks. The V20 pad bodies are unchanged; exact Sony mounting fit, comfort, sealing and sound benefits remain unverified. See the final V21 chapter.</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r>
        <w:br w:type="page"/>
      </w:r>
    </w:p>
    <w:p>
      <w:pPr>
        <w:pStyle w:val="Heading1"/>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r>
        <w:br w:type="page"/>
      </w:r>
    </w:p>
    <w:p>
      <w:pPr>
        <w:pStyle w:val="Heading1"/>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r>
        <w:br w:type="page"/>
      </w:r>
    </w:p>
    <w:p>
      <w:pPr>
        <w:pStyle w:val="Heading1"/>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r>
        <w:br w:type="page"/>
      </w:r>
    </w:p>
    <w:p>
      <w:pPr>
        <w:pStyle w:val="Heading1"/>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r>
        <w:br w:type="page"/>
      </w:r>
    </w:p>
    <w:p>
      <w:pPr>
        <w:pStyle w:val="Heading1"/>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Benefits remain unproven</w:t>
            </w:r>
          </w:p>
        </w:tc>
      </w:tr>
    </w:tbl>
    <w:p/>
    <w:p>
      <w:r>
        <w:br w:type="page"/>
      </w:r>
    </w:p>
    <w:p>
      <w:pPr>
        <w:pStyle w:val="Heading1"/>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Generic pad unchanged; host measurements and leakage results missing</w:t>
            </w:r>
          </w:p>
        </w:tc>
      </w:tr>
    </w:tbl>
    <w:p/>
    <w:p>
      <w:r>
        <w:br w:type="page"/>
      </w:r>
    </w:p>
    <w:p>
      <w:pPr>
        <w:pStyle w:val="Heading1"/>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r>
        <w:br w:type="page"/>
      </w:r>
    </w:p>
    <w:p>
      <w:pPr>
        <w:pStyle w:val="Heading1"/>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r>
        <w:br w:type="page"/>
      </w:r>
    </w:p>
    <w:p>
      <w:pPr>
        <w:pStyle w:val="Heading1"/>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r>
        <w:br w:type="page"/>
      </w:r>
    </w:p>
    <w:p>
      <w:pPr>
        <w:pStyle w:val="Heading1"/>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r>
        <w:br w:type="page"/>
      </w:r>
    </w:p>
    <w:p>
      <w:pPr>
        <w:pStyle w:val="Heading1"/>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r>
        <w:br w:type="page"/>
      </w:r>
    </w:p>
    <w:p>
      <w:pPr>
        <w:pStyle w:val="Heading1"/>
      </w:pPr>
      <w:r>
        <w:t>Sources and project records</w:t>
      </w:r>
    </w:p>
    <w:p>
      <w:hyperlink r:id="rId16">
        <w:r>
          <w:rPr>
            <w:color w:val="24536A"/>
          </w:rPr>
          <w:t>[5] SYGA Indian child earmuff listing</w:t>
        </w:r>
      </w:hyperlink>
    </w:p>
    <w:p>
      <w:hyperlink r:id="rId17">
        <w:r>
          <w:rPr>
            <w:color w:val="24536A"/>
          </w:rPr>
          <w:t>[8] Sony WH CH720N Indian store price</w:t>
        </w:r>
      </w:hyperlink>
    </w:p>
    <w:p>
      <w:hyperlink r:id="rId18">
        <w:r>
          <w:rPr>
            <w:color w:val="24536A"/>
          </w:rPr>
          <w:t>[9] Sony WH CH720N specifications</w:t>
        </w:r>
      </w:hyperlink>
    </w:p>
    <w:p>
      <w:hyperlink r:id="rId19">
        <w:r>
          <w:rPr>
            <w:color w:val="24536A"/>
          </w:rPr>
          <w:t>[10] Turtle Beach adjustable ProSpecs glasses relief</w:t>
        </w:r>
      </w:hyperlink>
    </w:p>
    <w:p>
      <w:hyperlink r:id="rId20">
        <w:r>
          <w:rPr>
            <w:color w:val="24536A"/>
          </w:rPr>
          <w:t>[11] Noisefighters Sightlines gel relief pads</w:t>
        </w:r>
      </w:hyperlink>
    </w:p>
    <w:p>
      <w:hyperlink r:id="rId21">
        <w:r>
          <w:rPr>
            <w:color w:val="24536A"/>
          </w:rPr>
          <w:t>[12] Brainwavz replacement pad fit guide</w:t>
        </w:r>
      </w:hyperlink>
    </w:p>
    <w:p>
      <w:hyperlink r:id="rId22">
        <w:r>
          <w:rPr>
            <w:color w:val="24536A"/>
          </w:rPr>
          <w:t>[13] Wicked Cushions cooling replacement pads</w:t>
        </w:r>
      </w:hyperlink>
    </w:p>
    <w:p>
      <w:hyperlink r:id="rId23">
        <w:r>
          <w:rPr>
            <w:color w:val="24536A"/>
          </w:rPr>
          <w:t>[17] Sony WH CH720N pad replacement instructions</w:t>
        </w:r>
      </w:hyperlink>
    </w:p>
    <w:p>
      <w:hyperlink r:id="rId24">
        <w:r>
          <w:rPr>
            <w:color w:val="24536A"/>
          </w:rPr>
          <w:t>[18] Crysendo indexed Sony replacement pad listing</w:t>
        </w:r>
      </w:hyperlink>
    </w:p>
    <w:p>
      <w:hyperlink r:id="rId25">
        <w:r>
          <w:rPr>
            <w:color w:val="24536A"/>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r>
        <w:br w:type="page"/>
      </w:r>
    </w:p>
    <w:p>
      <w:pPr>
        <w:pStyle w:val="Heading1"/>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r>
        <w:br w:type="page"/>
      </w:r>
    </w:p>
    <w:p>
      <w:pPr>
        <w:pStyle w:val="Heading1"/>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r>
        <w:br w:type="page"/>
      </w:r>
    </w:p>
    <w:p>
      <w:pPr>
        <w:pStyle w:val="Heading1"/>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r>
        <w:br w:type="page"/>
      </w:r>
    </w:p>
    <w:p>
      <w:pPr>
        <w:pStyle w:val="Heading1"/>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r>
        <w:br w:type="page"/>
      </w:r>
    </w:p>
    <w:p>
      <w:pPr>
        <w:pStyle w:val="Heading1"/>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hyperlink r:id="rId26">
        <w:r>
          <w:rPr>
            <w:color w:val="24536A"/>
          </w:rPr>
          <w:t>Material data poron</w:t>
        </w:r>
      </w:hyperlink>
    </w:p>
    <w:p>
      <w:hyperlink r:id="rId27">
        <w:r>
          <w:rPr>
            <w:color w:val="24536A"/>
          </w:rPr>
          <w:t>Material data silicone</w:t>
        </w:r>
      </w:hyperlink>
    </w:p>
    <w:p>
      <w:hyperlink r:id="rId28">
        <w:r>
          <w:rPr>
            <w:color w:val="24536A"/>
          </w:rPr>
          <w:t>Material data silicone soft</w:t>
        </w:r>
      </w:hyperlink>
    </w:p>
    <w:p>
      <w:hyperlink r:id="rId29">
        <w:r>
          <w:rPr>
            <w:color w:val="24536A"/>
          </w:rPr>
          <w:t>Material data etpu</w:t>
        </w:r>
      </w:hyperlink>
    </w:p>
    <w:p>
      <w:hyperlink r:id="rId30">
        <w:r>
          <w:rPr>
            <w:color w:val="24536A"/>
          </w:rPr>
          <w:t>Material data film</w:t>
        </w:r>
      </w:hyperlink>
    </w:p>
    <w:p>
      <w:hyperlink r:id="rId31">
        <w:r>
          <w:rPr>
            <w:color w:val="24536A"/>
          </w:rPr>
          <w:t>Material data spacer</w:t>
        </w:r>
      </w:hyperlink>
    </w:p>
    <w:p>
      <w:r>
        <w:br w:type="page"/>
      </w:r>
    </w:p>
    <w:p>
      <w:pPr>
        <w:pStyle w:val="Heading1"/>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r>
        <w:br w:type="page"/>
      </w:r>
    </w:p>
    <w:p>
      <w:pPr>
        <w:pStyle w:val="Heading1"/>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r>
        <w:br w:type="page"/>
      </w:r>
    </w:p>
    <w:p>
      <w:pPr>
        <w:pStyle w:val="Heading1"/>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r>
        <w:br w:type="page"/>
      </w:r>
    </w:p>
    <w:p>
      <w:pPr>
        <w:pStyle w:val="Heading1"/>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r>
        <w:br w:type="page"/>
      </w:r>
    </w:p>
    <w:p>
      <w:pPr>
        <w:pStyle w:val="Heading1"/>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5303520" cy="3076042"/>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5303520" cy="3076042"/>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r>
        <w:br w:type="page"/>
      </w:r>
    </w:p>
    <w:p>
      <w:pPr>
        <w:pStyle w:val="Heading1"/>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hyperlink r:id="rId36">
        <w:r>
          <w:rPr>
            <w:color w:val="24536A"/>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r>
        <w:br w:type="page"/>
      </w:r>
    </w:p>
    <w:p>
      <w:pPr>
        <w:pStyle w:val="Heading1"/>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r>
        <w:br w:type="page"/>
      </w:r>
    </w:p>
    <w:p>
      <w:pPr>
        <w:pStyle w:val="Heading1"/>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r>
        <w:br w:type="page"/>
      </w:r>
    </w:p>
    <w:p>
      <w:pPr>
        <w:pStyle w:val="Heading1"/>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r>
        <w:br w:type="page"/>
      </w:r>
    </w:p>
    <w:p>
      <w:pPr>
        <w:pStyle w:val="Heading1"/>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hyperlink r:id="rId39">
        <w:r>
          <w:rPr>
            <w:color w:val="24536A"/>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hyperlink r:id="rId40">
        <w:r>
          <w:rPr>
            <w:color w:val="24536A"/>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r>
        <w:br w:type="page"/>
      </w:r>
    </w:p>
    <w:p>
      <w:pPr>
        <w:pStyle w:val="Heading1"/>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bl>
    <w:p/>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72000" cy="22860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4572000" cy="2286000"/>
                    </a:xfrm>
                    <a:prstGeom prst="rect"/>
                  </pic:spPr>
                </pic:pic>
              </a:graphicData>
            </a:graphic>
          </wp:inline>
        </w:drawing>
      </w:r>
    </w:p>
    <w:p>
      <w:pPr>
        <w:pStyle w:val="Caption"/>
        <w:spacing w:after="20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r>
        <w:br w:type="page"/>
      </w:r>
    </w:p>
    <w:p>
      <w:pPr>
        <w:pStyle w:val="Heading1"/>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r>
        <w:br w:type="page"/>
      </w:r>
    </w:p>
    <w:p>
      <w:pPr>
        <w:pStyle w:val="Heading1"/>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r>
        <w:br w:type="page"/>
      </w:r>
    </w:p>
    <w:p>
      <w:pPr>
        <w:pStyle w:val="Heading1"/>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r>
        <w:br w:type="page"/>
      </w:r>
    </w:p>
    <w:p>
      <w:pPr>
        <w:pStyle w:val="Heading1"/>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hyperlink r:id="rId45">
        <w:r>
          <w:rPr>
            <w:color w:val="24536A"/>
          </w:rPr>
          <w:t>Ulbrich 301 wire reference data</w:t>
        </w:r>
      </w:hyperlink>
    </w:p>
    <w:p>
      <w:hyperlink r:id="rId46">
        <w:r>
          <w:rPr>
            <w:color w:val="24536A"/>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r>
        <w:br w:type="page"/>
      </w:r>
    </w:p>
    <w:p>
      <w:pPr>
        <w:pStyle w:val="Heading1"/>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r>
        <w:br w:type="page"/>
      </w:r>
    </w:p>
    <w:p>
      <w:pPr>
        <w:pStyle w:val="Heading1"/>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211.9 x 77.2 x 187.1</w:t>
            </w:r>
          </w:p>
        </w:tc>
      </w:tr>
    </w:tbl>
    <w:p/>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5303520" cy="3857105"/>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5303520" cy="3857105"/>
                    </a:xfrm>
                    <a:prstGeom prst="rect"/>
                  </pic:spPr>
                </pic:pic>
              </a:graphicData>
            </a:graphic>
          </wp:inline>
        </w:drawing>
      </w:r>
    </w:p>
    <w:p>
      <w:pPr>
        <w:pStyle w:val="Caption"/>
        <w:spacing w:after="20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r>
        <w:br w:type="page"/>
      </w:r>
    </w:p>
    <w:p>
      <w:pPr>
        <w:pStyle w:val="Heading1"/>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hyperlink r:id="rId50">
        <w:r>
          <w:rPr>
            <w:color w:val="24536A"/>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r>
        <w:br w:type="page"/>
      </w:r>
    </w:p>
    <w:p>
      <w:pPr>
        <w:pStyle w:val="Heading1"/>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r>
        <w:br w:type="page"/>
      </w:r>
    </w:p>
    <w:p>
      <w:pPr>
        <w:pStyle w:val="Heading1"/>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r>
        <w:br w:type="page"/>
      </w:r>
    </w:p>
    <w:p>
      <w:pPr>
        <w:pStyle w:val="Heading1"/>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r>
        <w:br w:type="page"/>
      </w:r>
    </w:p>
    <w:p>
      <w:pPr>
        <w:pStyle w:val="Heading1"/>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r>
        <w:br w:type="page"/>
      </w:r>
    </w:p>
    <w:p>
      <w:pPr>
        <w:pStyle w:val="Heading1"/>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r>
        <w:br w:type="page"/>
      </w:r>
    </w:p>
    <w:p>
      <w:pPr>
        <w:pStyle w:val="Heading1"/>
      </w:pPr>
      <w:r>
        <w:t>V18 Retention result and end of screening</w:t>
      </w:r>
    </w:p>
    <w:p>
      <w:pPr>
        <w:keepNext/>
        <w:jc w:val="center"/>
      </w:pPr>
      <w:r>
        <w:drawing>
          <wp:inline xmlns:a="http://schemas.openxmlformats.org/drawingml/2006/main" xmlns:pic="http://schemas.openxmlformats.org/drawingml/2006/picture">
            <wp:extent cx="5394960" cy="2697480"/>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5394960" cy="2697480"/>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r>
        <w:br w:type="page"/>
      </w:r>
    </w:p>
    <w:p>
      <w:pPr>
        <w:pStyle w:val="Heading1"/>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r>
        <w:br w:type="page"/>
      </w:r>
    </w:p>
    <w:p>
      <w:pPr>
        <w:pStyle w:val="Heading1"/>
      </w:pPr>
      <w:r>
        <w:t>V19 Folding and holding tradeoff</w:t>
      </w:r>
    </w:p>
    <w:p>
      <w:pPr>
        <w:keepNext/>
        <w:jc w:val="center"/>
      </w:pPr>
      <w:r>
        <w:drawing>
          <wp:inline xmlns:a="http://schemas.openxmlformats.org/drawingml/2006/main" xmlns:pic="http://schemas.openxmlformats.org/drawingml/2006/picture">
            <wp:extent cx="5394960" cy="3923607"/>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5394960" cy="3923607"/>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r>
        <w:br w:type="page"/>
      </w:r>
    </w:p>
    <w:p>
      <w:pPr>
        <w:pStyle w:val="Heading1"/>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hyperlink r:id="rId57">
        <w:r>
          <w:rPr>
            <w:color w:val="24536A"/>
          </w:rPr>
          <w:t>SCHNORR disc spring stacking guidance</w:t>
        </w:r>
      </w:hyperlink>
    </w:p>
    <w:p>
      <w:r>
        <w:br w:type="page"/>
      </w:r>
    </w:p>
    <w:p>
      <w:pPr>
        <w:pStyle w:val="Heading1"/>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r>
        <w:br w:type="page"/>
      </w:r>
    </w:p>
    <w:p>
      <w:pPr>
        <w:pStyle w:val="Heading1"/>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r>
        <w:br w:type="page"/>
      </w:r>
    </w:p>
    <w:p>
      <w:pPr>
        <w:pStyle w:val="Heading1"/>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hyperlink r:id="rId59">
        <w:r>
          <w:rPr>
            <w:color w:val="24536A"/>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r>
        <w:br w:type="page"/>
      </w:r>
    </w:p>
    <w:p>
      <w:pPr>
        <w:pStyle w:val="Heading1"/>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r>
        <w:br w:type="page"/>
      </w:r>
    </w:p>
    <w:p>
      <w:pPr>
        <w:pStyle w:val="Heading1"/>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r>
        <w:br w:type="page"/>
      </w:r>
    </w:p>
    <w:p>
      <w:pPr>
        <w:pStyle w:val="Heading1"/>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r>
        <w:br w:type="page"/>
      </w:r>
    </w:p>
    <w:p>
      <w:pPr>
        <w:pStyle w:val="Heading1"/>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r>
        <w:br w:type="page"/>
      </w:r>
    </w:p>
    <w:p>
      <w:pPr>
        <w:pStyle w:val="Heading1"/>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r>
        <w:br w:type="page"/>
      </w:r>
    </w:p>
    <w:p>
      <w:pPr>
        <w:pStyle w:val="Heading1"/>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r>
        <w:br w:type="page"/>
      </w:r>
    </w:p>
    <w:p>
      <w:pPr>
        <w:pStyle w:val="Heading1"/>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r>
        <w:br w:type="page"/>
      </w:r>
    </w:p>
    <w:p>
      <w:pPr>
        <w:pStyle w:val="Heading1"/>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hyperlink r:id="rId65">
        <w:r>
          <w:rPr>
            <w:color w:val="24536A"/>
          </w:rPr>
          <w:t>Brainwavz compatible pad dimensions and model list</w:t>
        </w:r>
      </w:hyperlink>
    </w:p>
    <w:p>
      <w:hyperlink r:id="rId23">
        <w:r>
          <w:rPr>
            <w:color w:val="24536A"/>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r>
        <w:br w:type="page"/>
      </w:r>
    </w:p>
    <w:p>
      <w:pPr>
        <w:pStyle w:val="Heading1"/>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r>
        <w:br w:type="page"/>
      </w:r>
    </w:p>
    <w:p>
      <w:pPr>
        <w:pStyle w:val="Heading1"/>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r>
        <w:br w:type="page"/>
      </w:r>
    </w:p>
    <w:p>
      <w:pPr>
        <w:pStyle w:val="Heading1"/>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r>
        <w:br w:type="page"/>
      </w:r>
    </w:p>
    <w:p>
      <w:pPr>
        <w:pStyle w:val="Heading1"/>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r>
        <w:br w:type="page"/>
      </w:r>
    </w:p>
    <w:p>
      <w:pPr>
        <w:pStyle w:val="Heading1"/>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r>
        <w:br w:type="page"/>
      </w:r>
    </w:p>
    <w:p>
      <w:pPr>
        <w:pStyle w:val="Heading1"/>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