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Current update on 26 October 2026: The lower memory V26B joint pilot failed its second linear accuracy check. No new strength result is accepted. Both projects remain concepts with open validation requirements. Read the final lower memory joint solver review and the preceding named material screen.</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pPr>
        <w:pStyle w:val="Heading1"/>
        <w:pageBreakBefore/>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pPr>
        <w:pStyle w:val="Heading1"/>
        <w:pageBreakBefore/>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pPr>
        <w:pStyle w:val="Heading1"/>
        <w:pageBreakBefore/>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pPr>
        <w:pStyle w:val="Heading1"/>
        <w:pageBreakBefore/>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pPr>
        <w:pStyle w:val="Heading1"/>
        <w:pageBreakBefore/>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pPr>
        <w:pStyle w:val="Heading1"/>
        <w:pageBreakBefore/>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pPr>
        <w:pStyle w:val="Heading1"/>
        <w:pageBreakBefore/>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pPr>
        <w:pStyle w:val="Heading1"/>
        <w:pageBreakBefore/>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pPr>
        <w:pStyle w:val="Heading1"/>
        <w:pageBreakBefore/>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pPr>
        <w:pStyle w:val="Heading1"/>
        <w:pageBreakBefore/>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pPr>
        <w:pStyle w:val="Heading1"/>
        <w:pageBreakBefore/>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pPr>
        <w:pStyle w:val="Heading1"/>
        <w:pageBreakBefore/>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pPr>
        <w:pStyle w:val="Heading1"/>
        <w:pageBreakBefore/>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pPr>
        <w:pStyle w:val="Heading1"/>
        <w:pageBreakBefore/>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pPr>
        <w:pStyle w:val="Heading1"/>
        <w:pageBreakBefore/>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pPr>
        <w:pStyle w:val="Heading1"/>
        <w:pageBreakBefore/>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pPr>
        <w:pStyle w:val="Heading1"/>
        <w:pageBreakBefore/>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pPr>
        <w:pStyle w:val="Heading1"/>
        <w:pageBreakBefore/>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pPr>
        <w:pStyle w:val="Heading1"/>
        <w:pageBreakBefore/>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pPr>
        <w:pStyle w:val="Heading1"/>
        <w:pageBreakBefore/>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pPr>
        <w:pStyle w:val="Heading1"/>
        <w:pageBreakBefore/>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pPr>
        <w:pStyle w:val="Heading1"/>
        <w:pageBreakBefore/>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pPr>
        <w:pStyle w:val="Heading1"/>
        <w:pageBreakBefore/>
      </w:pPr>
      <w:r>
        <w:t>Sources and project records</w:t>
      </w:r>
    </w:p>
    <w:p>
      <w:pPr>
        <w:spacing w:after="20" w:line="240" w:lineRule="auto"/>
      </w:pPr>
      <w:hyperlink r:id="rId26">
        <w:r>
          <w:rPr>
            <w:color w:val="24536A"/>
            <w:sz w:val="18"/>
          </w:rPr>
          <w:t>[1] Sensory differences and individual needs</w:t>
        </w:r>
      </w:hyperlink>
    </w:p>
    <w:p>
      <w:pPr>
        <w:spacing w:after="20" w:line="240" w:lineRule="auto"/>
      </w:pPr>
      <w:hyperlink r:id="rId27">
        <w:r>
          <w:rPr>
            <w:color w:val="24536A"/>
            <w:sz w:val="18"/>
          </w:rPr>
          <w:t>[2] Williams and colleagues 2021 sound sensitivity review</w:t>
        </w:r>
      </w:hyperlink>
    </w:p>
    <w:p>
      <w:pPr>
        <w:spacing w:after="20" w:line="240" w:lineRule="auto"/>
      </w:pPr>
      <w:hyperlink r:id="rId28">
        <w:r>
          <w:rPr>
            <w:color w:val="24536A"/>
            <w:sz w:val="18"/>
          </w:rPr>
          <w:t>[3] Pfeiffer and colleagues 2019 six child headphone study</w:t>
        </w:r>
      </w:hyperlink>
    </w:p>
    <w:p>
      <w:pPr>
        <w:spacing w:after="20" w:line="240" w:lineRule="auto"/>
      </w:pPr>
      <w:hyperlink r:id="rId29">
        <w:r>
          <w:rPr>
            <w:color w:val="24536A"/>
            <w:sz w:val="18"/>
          </w:rPr>
          <w:t>[4] Robustt Indian earmuff listing</w:t>
        </w:r>
      </w:hyperlink>
    </w:p>
    <w:p>
      <w:pPr>
        <w:spacing w:after="20" w:line="240" w:lineRule="auto"/>
      </w:pPr>
      <w:hyperlink r:id="rId30">
        <w:r>
          <w:rPr>
            <w:color w:val="24536A"/>
            <w:sz w:val="18"/>
          </w:rPr>
          <w:t>[5] SYGA Indian child earmuff listing</w:t>
        </w:r>
      </w:hyperlink>
    </w:p>
    <w:p>
      <w:pPr>
        <w:spacing w:after="20" w:line="240" w:lineRule="auto"/>
      </w:pPr>
      <w:hyperlink r:id="rId31">
        <w:r>
          <w:rPr>
            <w:color w:val="24536A"/>
            <w:sz w:val="18"/>
          </w:rPr>
          <w:t>[6] Alpine Muffy Kids manufacturer page</w:t>
        </w:r>
      </w:hyperlink>
    </w:p>
    <w:p>
      <w:pPr>
        <w:spacing w:after="20" w:line="240" w:lineRule="auto"/>
      </w:pPr>
      <w:hyperlink r:id="rId32">
        <w:r>
          <w:rPr>
            <w:color w:val="24536A"/>
            <w:sz w:val="18"/>
          </w:rPr>
          <w:t>[7] boAt Nirvana 751 ANC Indian listing</w:t>
        </w:r>
      </w:hyperlink>
    </w:p>
    <w:p>
      <w:pPr>
        <w:spacing w:after="20" w:line="240" w:lineRule="auto"/>
      </w:pPr>
      <w:hyperlink r:id="rId33">
        <w:r>
          <w:rPr>
            <w:color w:val="24536A"/>
            <w:sz w:val="18"/>
          </w:rPr>
          <w:t>[8] Sony WH CH720N Indian store price</w:t>
        </w:r>
      </w:hyperlink>
    </w:p>
    <w:p>
      <w:pPr>
        <w:spacing w:after="20" w:line="240" w:lineRule="auto"/>
      </w:pPr>
      <w:hyperlink r:id="rId34">
        <w:r>
          <w:rPr>
            <w:color w:val="24536A"/>
            <w:sz w:val="18"/>
          </w:rPr>
          <w:t>[9] Sony WH CH720N specifications</w:t>
        </w:r>
      </w:hyperlink>
    </w:p>
    <w:p>
      <w:pPr>
        <w:spacing w:after="20" w:line="240" w:lineRule="auto"/>
      </w:pPr>
      <w:hyperlink r:id="rId35">
        <w:r>
          <w:rPr>
            <w:color w:val="24536A"/>
            <w:sz w:val="18"/>
          </w:rPr>
          <w:t>[10] Turtle Beach adjustable ProSpecs glasses relief</w:t>
        </w:r>
      </w:hyperlink>
    </w:p>
    <w:p>
      <w:pPr>
        <w:spacing w:after="20" w:line="240" w:lineRule="auto"/>
      </w:pPr>
      <w:hyperlink r:id="rId36">
        <w:r>
          <w:rPr>
            <w:color w:val="24536A"/>
            <w:sz w:val="18"/>
          </w:rPr>
          <w:t>[11] Noisefighters Sightlines gel relief pads</w:t>
        </w:r>
      </w:hyperlink>
    </w:p>
    <w:p>
      <w:pPr>
        <w:spacing w:after="20" w:line="240" w:lineRule="auto"/>
      </w:pPr>
      <w:hyperlink r:id="rId37">
        <w:r>
          <w:rPr>
            <w:color w:val="24536A"/>
            <w:sz w:val="18"/>
          </w:rPr>
          <w:t>[14] 3M X4A UK rating</w:t>
        </w:r>
      </w:hyperlink>
    </w:p>
    <w:p>
      <w:pPr>
        <w:spacing w:after="20" w:line="240" w:lineRule="auto"/>
      </w:pPr>
      <w:hyperlink r:id="rId38">
        <w:r>
          <w:rPr>
            <w:color w:val="24536A"/>
            <w:sz w:val="18"/>
          </w:rPr>
          <w:t>[15] Udaipur adult ear to crown height study</w:t>
        </w:r>
      </w:hyperlink>
    </w:p>
    <w:p>
      <w:pPr>
        <w:spacing w:after="20" w:line="240" w:lineRule="auto"/>
      </w:pPr>
      <w:hyperlink r:id="rId39">
        <w:r>
          <w:rPr>
            <w:color w:val="24536A"/>
            <w:sz w:val="18"/>
          </w:rPr>
          <w:t>[16] JBL Tune 770NC manufacturer specifications</w:t>
        </w:r>
      </w:hyperlink>
    </w:p>
    <w:p>
      <w:pPr>
        <w:spacing w:after="20" w:line="240" w:lineRule="auto"/>
      </w:pPr>
      <w:hyperlink r:id="rId40">
        <w:r>
          <w:rPr>
            <w:color w:val="24536A"/>
            <w:sz w:val="18"/>
          </w:rPr>
          <w:t>[17] Sony WH CH720N pad replacement instructions</w:t>
        </w:r>
      </w:hyperlink>
    </w:p>
    <w:p>
      <w:pPr>
        <w:spacing w:after="20" w:line="240" w:lineRule="auto"/>
      </w:pPr>
      <w:hyperlink r:id="rId41">
        <w:r>
          <w:rPr>
            <w:color w:val="24536A"/>
            <w:sz w:val="18"/>
          </w:rPr>
          <w:t>[18] Crysendo indexed Sony replacement pad listing</w:t>
        </w:r>
      </w:hyperlink>
    </w:p>
    <w:p>
      <w:pPr>
        <w:spacing w:after="20" w:line="240" w:lineRule="auto"/>
      </w:pPr>
      <w:hyperlink r:id="rId42">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pPr>
        <w:pStyle w:val="Heading1"/>
        <w:pageBreakBefore/>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pPr>
        <w:spacing w:after="20" w:line="240" w:lineRule="auto"/>
      </w:pPr>
      <w:hyperlink r:id="rId43">
        <w:r>
          <w:rPr>
            <w:color w:val="24536A"/>
            <w:sz w:val="18"/>
          </w:rPr>
          <w:t>Material data ensinger catalog</w:t>
        </w:r>
      </w:hyperlink>
    </w:p>
    <w:p>
      <w:pPr>
        <w:spacing w:after="20" w:line="240" w:lineRule="auto"/>
      </w:pPr>
      <w:hyperlink r:id="rId44">
        <w:r>
          <w:rPr>
            <w:color w:val="24536A"/>
            <w:sz w:val="18"/>
          </w:rPr>
          <w:t>Material data abs natural</w:t>
        </w:r>
      </w:hyperlink>
    </w:p>
    <w:p>
      <w:pPr>
        <w:spacing w:after="20" w:line="240" w:lineRule="auto"/>
      </w:pPr>
      <w:hyperlink r:id="rId45">
        <w:r>
          <w:rPr>
            <w:color w:val="24536A"/>
            <w:sz w:val="18"/>
          </w:rPr>
          <w:t>Material data pet</w:t>
        </w:r>
      </w:hyperlink>
    </w:p>
    <w:p>
      <w:pPr>
        <w:spacing w:after="20" w:line="240" w:lineRule="auto"/>
      </w:pPr>
      <w:hyperlink r:id="rId46">
        <w:r>
          <w:rPr>
            <w:color w:val="24536A"/>
            <w:sz w:val="18"/>
          </w:rPr>
          <w:t>Material data peek</w:t>
        </w:r>
      </w:hyperlink>
    </w:p>
    <w:p>
      <w:pPr>
        <w:spacing w:after="20" w:line="240" w:lineRule="auto"/>
      </w:pPr>
      <w:hyperlink r:id="rId47">
        <w:r>
          <w:rPr>
            <w:color w:val="24536A"/>
            <w:sz w:val="18"/>
          </w:rPr>
          <w:t>Material data pc</w:t>
        </w:r>
      </w:hyperlink>
    </w:p>
    <w:p>
      <w:pPr>
        <w:spacing w:after="20" w:line="240" w:lineRule="auto"/>
      </w:pPr>
      <w:hyperlink r:id="rId48">
        <w:r>
          <w:rPr>
            <w:color w:val="24536A"/>
            <w:sz w:val="18"/>
          </w:rPr>
          <w:t>Material data pp</w:t>
        </w:r>
      </w:hyperlink>
    </w:p>
    <w:p>
      <w:pPr>
        <w:spacing w:after="20" w:line="240" w:lineRule="auto"/>
      </w:pPr>
      <w:hyperlink r:id="rId49">
        <w:r>
          <w:rPr>
            <w:color w:val="24536A"/>
            <w:sz w:val="18"/>
          </w:rPr>
          <w:t>Material data steel301</w:t>
        </w:r>
      </w:hyperlink>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50">
        <w:r>
          <w:rPr>
            <w:color w:val="24536A"/>
            <w:sz w:val="18"/>
          </w:rPr>
          <w:t>Material data poron</w:t>
        </w:r>
      </w:hyperlink>
    </w:p>
    <w:p>
      <w:pPr>
        <w:spacing w:after="20" w:line="240" w:lineRule="auto"/>
      </w:pPr>
      <w:hyperlink r:id="rId51">
        <w:r>
          <w:rPr>
            <w:color w:val="24536A"/>
            <w:sz w:val="18"/>
          </w:rPr>
          <w:t>Material data silicone</w:t>
        </w:r>
      </w:hyperlink>
    </w:p>
    <w:p>
      <w:pPr>
        <w:spacing w:after="20" w:line="240" w:lineRule="auto"/>
      </w:pPr>
      <w:hyperlink r:id="rId52">
        <w:r>
          <w:rPr>
            <w:color w:val="24536A"/>
            <w:sz w:val="18"/>
          </w:rPr>
          <w:t>Material data silicone soft</w:t>
        </w:r>
      </w:hyperlink>
    </w:p>
    <w:p>
      <w:pPr>
        <w:spacing w:after="20" w:line="240" w:lineRule="auto"/>
      </w:pPr>
      <w:hyperlink r:id="rId53">
        <w:r>
          <w:rPr>
            <w:color w:val="24536A"/>
            <w:sz w:val="18"/>
          </w:rPr>
          <w:t>Material data etpu</w:t>
        </w:r>
      </w:hyperlink>
    </w:p>
    <w:p>
      <w:pPr>
        <w:spacing w:after="20" w:line="240" w:lineRule="auto"/>
      </w:pPr>
      <w:hyperlink r:id="rId54">
        <w:r>
          <w:rPr>
            <w:color w:val="24536A"/>
            <w:sz w:val="18"/>
          </w:rPr>
          <w:t>Material data film</w:t>
        </w:r>
      </w:hyperlink>
    </w:p>
    <w:p>
      <w:pPr>
        <w:spacing w:after="20" w:line="240" w:lineRule="auto"/>
      </w:pPr>
      <w:hyperlink r:id="rId55">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pPr>
        <w:pStyle w:val="Heading1"/>
        <w:pageBreakBefore/>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pPr>
        <w:pStyle w:val="Heading1"/>
        <w:pageBreakBefore/>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pPr>
        <w:pStyle w:val="Heading1"/>
        <w:pageBreakBefore/>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pPr>
        <w:pStyle w:val="Heading1"/>
        <w:pageBreakBefore/>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pPr>
        <w:pStyle w:val="Heading1"/>
        <w:pageBreakBefore/>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pPr>
        <w:pStyle w:val="Heading1"/>
        <w:pageBreakBefore/>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pPr>
        <w:pStyle w:val="Heading1"/>
        <w:pageBreakBefore/>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pPr>
        <w:spacing w:after="20" w:line="240" w:lineRule="auto"/>
      </w:pPr>
      <w:hyperlink r:id="rId49">
        <w:r>
          <w:rPr>
            <w:color w:val="24536A"/>
            <w:sz w:val="18"/>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pPr>
        <w:pStyle w:val="Heading1"/>
        <w:pageBreakBefore/>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pPr>
        <w:pStyle w:val="Heading1"/>
        <w:pageBreakBefore/>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pPr>
        <w:pStyle w:val="Heading1"/>
        <w:pageBreakBefore/>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pPr>
        <w:pStyle w:val="Heading1"/>
        <w:pageBreakBefore/>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63">
        <w:r>
          <w:rPr>
            <w:color w:val="24536A"/>
            <w:sz w:val="18"/>
          </w:rPr>
          <w:t>Bossard metric thread dimensions and tolerances</w:t>
        </w:r>
      </w:hyperlink>
    </w:p>
    <w:p>
      <w:pPr>
        <w:pStyle w:val="Heading1"/>
        <w:pageBreakBefore/>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pPr>
        <w:pStyle w:val="Heading1"/>
        <w:pageBreakBefore/>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pPr>
        <w:pStyle w:val="Heading1"/>
        <w:pageBreakBefore/>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pPr>
        <w:pStyle w:val="Heading1"/>
        <w:pageBreakBefore/>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68">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pPr>
        <w:pStyle w:val="Heading1"/>
        <w:pageBreakBefore/>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69">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07992" cy="2253996"/>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4507992" cy="2253996"/>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9">
        <w:r>
          <w:rPr>
            <w:color w:val="24536A"/>
            <w:sz w:val="18"/>
          </w:rPr>
          <w:t>Ulbrich 301 wire reference data</w:t>
        </w:r>
      </w:hyperlink>
    </w:p>
    <w:p>
      <w:pPr>
        <w:spacing w:after="20" w:line="240" w:lineRule="auto"/>
      </w:pPr>
      <w:hyperlink r:id="rId74">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78">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84">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86">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92">
        <w:r>
          <w:rPr>
            <w:color w:val="24536A"/>
            <w:sz w:val="18"/>
          </w:rPr>
          <w:t>Brainwavz compatible pad dimensions and model list</w:t>
        </w:r>
      </w:hyperlink>
    </w:p>
    <w:p>
      <w:pPr>
        <w:spacing w:after="20" w:line="240" w:lineRule="auto"/>
      </w:pPr>
      <w:hyperlink r:id="rId40">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46" name="Picture 46"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93"/>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47" name="Picture 47"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94"/>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48" name="Picture 48"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95"/>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49" name="Picture 49"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96"/>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50" name="Picture 50"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97"/>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51" name="Picture 51"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98"/>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52" name="Picture 52"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99"/>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53" name="Picture 53"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100"/>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p>
      <w:pPr>
        <w:pStyle w:val="Heading1"/>
        <w:pageBreakBefore/>
      </w:pPr>
      <w:r>
        <w:t>Software validation decision</w:t>
      </w:r>
    </w:p>
    <w:p>
      <w:r>
        <w:t>25 October 2026. Neither product has passed full software validation. We have completed this review of the saved evidence. Several tests and inputs remain missing or unresolved, so the review does not approve a finished product. We reused the existing records and ran no new simulation campaign for this decision.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Product</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Joint strength remains unresolved and the local correction has not been validated in the complete headset.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Exact Sony mounting geometry and host specific fit and sound results remain unverified.</w:t>
            </w:r>
          </w:p>
        </w:tc>
      </w:tr>
    </w:tbl>
    <w:p/>
    <w:p>
      <w:r>
        <w:t>What is established: CAD candidates and calculation records exist. Two V26A reference fields passed their numerical consistency checks. V26B passed 25 local rigid folding samples and two stop queries. A still failed tongue stress and folding checks; B has no accepted strength field. These results do not prove wearer comfort, sound reduction, Sony compatibility or durability.</w:t>
      </w:r>
    </w:p>
    <w:tbl>
      <w:tblPr>
        <w:tblW w:type="auto" w:w="0"/>
        <w:jc w:val="center"/>
        <w:tblLayout w:type="fixed"/>
        <w:tblLook w:firstColumn="1" w:firstRow="1" w:lastColumn="0" w:lastRow="0" w:noHBand="0" w:noVBand="1" w:val="04A0"/>
      </w:tblPr>
      <w:tblGrid>
        <w:gridCol w:w="2952"/>
        <w:gridCol w:w="698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Open requirement</w:t>
            </w:r>
          </w:p>
        </w:tc>
        <w:tc>
          <w:tcPr>
            <w:tcW w:type="dxa" w:w="69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must change before it can close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 and assembly</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reliably solved motion compatible design with actual hardware loads tolerances and full assembly checks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Selected foam loading and unloading curves cover behaviour seams friction and head geometry</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skirt groove and carrier dimensions and tolerances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performance requirements complete product models and qualified material and assembly inputs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representative wearer evaluation including autistic users</w:t>
            </w:r>
          </w:p>
        </w:tc>
      </w:tr>
    </w:tbl>
    <w:p/>
    <w:p>
      <w:r>
        <w:t>The requirements file separates failed calculations, missing inputs and checks that need people. Repeating assumed simulations cannot establish missing material properties or exact mounting dimensions. We have not loosened any test limit or treated an incomplete solver run as a pass. Testing every imaginable material or headphone is not a finite requirement; actual grades supported models and operating conditions must be defined.</w:t>
      </w:r>
    </w:p>
    <w:p>
      <w:r>
        <w:t>This closes the evidence review only. It does not complete the outstanding software tests or release either design for manufacture. Further work should address a named open requirement with a changed design or qualified new input. The detailed evidence index and remaining requirements are in the validation decision package.</w:t>
      </w:r>
    </w:p>
    <w:p>
      <w:pPr>
        <w:pStyle w:val="Heading1"/>
        <w:pageBreakBefore/>
      </w:pPr>
      <w:r>
        <w:t>Named foam loading screen</w:t>
      </w:r>
    </w:p>
    <w:p>
      <w:r>
        <w:t>26 October 2026. We replaced an assumed foam law with published loading points for eight named Confor grades in a separate reference calculation. This partially closes the loading input gap. It does not select a final material or approve either product. The existing headset and Sony pad CAD are unchanged.</w:t>
      </w:r>
    </w:p>
    <w:p>
      <w:pPr>
        <w:keepNext/>
        <w:jc w:val="center"/>
      </w:pPr>
      <w:r>
        <w:drawing>
          <wp:inline xmlns:a="http://schemas.openxmlformats.org/drawingml/2006/main" xmlns:pic="http://schemas.openxmlformats.org/drawingml/2006/picture">
            <wp:extent cx="5989320" cy="2515514"/>
            <wp:docPr id="54" name="Picture 54" descr="Source points and conditional calculations. The loading curves are typical inputs, not guaranteed material limits or wearer measurements."/>
            <wp:cNvGraphicFramePr>
              <a:graphicFrameLocks noChangeAspect="1"/>
            </wp:cNvGraphicFramePr>
            <a:graphic>
              <a:graphicData uri="http://schemas.openxmlformats.org/drawingml/2006/picture">
                <pic:pic>
                  <pic:nvPicPr>
                    <pic:cNvPr id="0" name="Material_loading_screen_20261026.png"/>
                    <pic:cNvPicPr/>
                  </pic:nvPicPr>
                  <pic:blipFill>
                    <a:blip r:embed="rId101"/>
                    <a:stretch>
                      <a:fillRect/>
                    </a:stretch>
                  </pic:blipFill>
                  <pic:spPr>
                    <a:xfrm>
                      <a:off x="0" y="0"/>
                      <a:ext cx="5989320" cy="2515514"/>
                    </a:xfrm>
                    <a:prstGeom prst="rect"/>
                  </pic:spPr>
                </pic:pic>
              </a:graphicData>
            </a:graphic>
          </wp:inline>
        </w:drawing>
      </w:r>
    </w:p>
    <w:p>
      <w:pPr>
        <w:pStyle w:val="Caption"/>
        <w:spacing w:after="200"/>
      </w:pPr>
      <w:r>
        <w:t>Source points and conditional calculations. The loading curves are typical inputs, not guaranteed material limits or wearer measurements.</w:t>
      </w:r>
    </w:p>
    <w:p>
      <w:r>
        <w:t>Trelleborg lists eight compression points per grade from 10 to 80 percent strain. Its modified test uses a 12.7 mm specimen compressed at 5.1 mm per minute. We used that reference thickness and did not transfer the curve to the existing 30 mm pad. The sheet also supplies nominal density and typical thermal conductivity. These loading points do not supply unloading, long term recovery or a complete viscoelastic law.</w:t>
      </w:r>
    </w:p>
    <w:p>
      <w:r>
        <w:t>The flat annulus has an outside size of 80 by 100 mm and an assumed opening of 50 by 70 mm. Independent columns represent an uncovered main region, a zone and a glasses strip. The forces, arm heights and geometry are declared sensitivity inputs. The model omits lateral foam coupling, cover tension and seams, skin, head shape and glasses bending.</w:t>
      </w:r>
    </w:p>
    <w:p>
      <w:hyperlink r:id="rId102">
        <w:r>
          <w:rPr>
            <w:color w:val="24536A"/>
          </w:rPr>
          <w:t>Trelleborg Confor manufacturer data sheet</w:t>
        </w:r>
      </w:hyperlink>
    </w:p>
    <w:p>
      <w:pPr>
        <w:pStyle w:val="Heading1"/>
        <w:pageBreakBefore/>
      </w:pPr>
      <w:r>
        <w:t>Named material results and remaining limits</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Screen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Count or check</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pair force and arm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1152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Solved inside the sourced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559</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the supported common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decreases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195</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increases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identical results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w:t>
            </w:r>
          </w:p>
        </w:tc>
      </w:tr>
    </w:tbl>
    <w:p/>
    <w:p>
      <w:r>
        <w:t>These counts are not probabilities of comfort or real world success. We used shape preserving interpolation only inside the published strain interval. Cases outside that interval remain unsolved. All 64 entered source points matched a separate PDF text extraction after the source page was checked visually. Force balance, independent root solving, exact annular areas, equal material identity and uniform pressure controls passed.</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At assumed 8 N and 1 mm arm height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Glasses strip mean pressure</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2.78 kPa</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main and CF 40M zone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1.81 kPa</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40M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2.69 kPa</w:t>
            </w:r>
          </w:p>
        </w:tc>
      </w:tr>
    </w:tbl>
    <w:p/>
    <w:p>
      <w:r>
        <w:t>The mixed example gives about 35 percent lower calculated strip pressure than uniform CF 42M. Pressure elsewhere also changes to carry the same total force. This is one conditional reference result, not a predicted pain reduction, final material choice or validation of the finished cushion. The uniform softer control is kept so that a zone is not compared only with a harder baseline.</w:t>
      </w:r>
    </w:p>
    <w:p>
      <w:r>
        <w:t>A separate Rogers battery pad formulation has loading points too, but its listed thickness is 1.4 to 3 mm. On the same assumed annular area its typical 20 percent compression point would require about 143.5 N. That reference is not a head force recommendation or a result for a thick headphone pad. We did not combine its values with the different generic PORON data.</w:t>
      </w:r>
    </w:p>
    <w:p>
      <w:hyperlink r:id="rId103">
        <w:r>
          <w:rPr>
            <w:color w:val="24536A"/>
          </w:rPr>
          <w:t>Rogers battery pad formulation data sheet</w:t>
        </w:r>
      </w:hyperlink>
    </w:p>
    <w:p>
      <w:r>
        <w:t>Loading inputs are better traced, but full validation remains open. Cover and recovery data, real material and force variation, exact Sony mounting, actual worn contact and complete sound heat and durability models are still needed. The Sony manual index checked in this update supplied no new dimensioned mount source. Neither route gains a fit, no leakage, comfort, ANC or manufacturing pass from these calculations.</w:t>
      </w:r>
    </w:p>
    <w:p>
      <w:pPr>
        <w:pStyle w:val="Heading1"/>
        <w:pageBreakBefore/>
      </w:pPr>
      <w:r>
        <w:t>Lower memory joint solver review</w:t>
      </w:r>
    </w:p>
    <w:p>
      <w:r>
        <w:t>26 October 2026. The V26B relieved joint still has no accepted equilibrium solution. A new method factors the tongue and fork separately to reduce stored matrix entries. The CAD, loads, contact equations and accuracy limits were kept unchanged. This is a failed solver pilot, not proof that the physical joint breaks.</w:t>
      </w:r>
    </w:p>
    <w:tbl>
      <w:tblPr>
        <w:tblW w:type="auto" w:w="0"/>
        <w:jc w:val="center"/>
        <w:tblLayout w:type="fixed"/>
        <w:tblLook w:firstColumn="1" w:firstRow="1" w:lastColumn="0" w:lastRow="0" w:noHBand="0" w:noVBand="1" w:val="04A0"/>
      </w:tblPr>
      <w:tblGrid>
        <w:gridCol w:w="5904"/>
        <w:gridCol w:w="4032"/>
      </w:tblGrid>
      <w:tr>
        <w:trPr>
          <w:tblHeader/>
          <w:cantSplit/>
        </w:trPr>
        <w:tc>
          <w:tcPr>
            <w:tcW w:type="dxa" w:w="59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Pilot check</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result</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Stored factor entries on first step</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27.78 million versus 92.64 million previously</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First linear relative error</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0.00000846 against limit 0.000020</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Residual after first Newton step</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0.03843 against final target 0.0000001</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Second linear relative error</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0.001015 against limit 0.000020</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Second step outcome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Stopped after 320 iterations and failed accuracy check</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Accepted new stress or strength result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None</w:t>
            </w:r>
          </w:p>
        </w:tc>
      </w:tr>
    </w:tbl>
    <w:p/>
    <w:p>
      <w:r>
        <w:t>About 70 percent fewer factor entries improved storage requirements. The second step did not meet the same accuracy gate, so it was rejected. An intermediate displacement must not be used as a valid stress result. The script, log and review JSON retain the failed attempt.</w:t>
      </w:r>
    </w:p>
    <w:p>
      <w:r>
        <w:t>SoftSpace remains an engineering concept. The earlier candidate has local motion interference; the relieved candidate passes sampled local motion but still needs a reliable strength solution and integration into a fully checked assembly. Material specific properties and tolerance effects also remain unresolved. We cannot call the headset software validated.</w:t>
      </w:r>
    </w:p>
    <w:p>
      <w:r>
        <w:t>SoftSpace Flex is unchanged by this joint test. The sourced foam loading screen remains a useful conditional comparison, but exact WH CH720N mounting dimensions, cover and recovery properties, and a calibrated acoustic seal model are still missing. The reports do not establish fit, no leakage, pain relief or sensory acceptance.</w:t>
      </w:r>
    </w:p>
    <w:p>
      <w:r>
        <w:t>Next decision: resolve the joint model with a demonstrably converged solver before treating it as a strength prediction. Obtain verified mounting dimensions and suitable material and acoustic input data before claiming a validated Sony replacement. More arbitrary material sweeps cannot close these gaps. Physical tests will still be needed after credible computer predictions.</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26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 Id="rId93" Type="http://schemas.openxmlformats.org/officeDocument/2006/relationships/image" Target="media/image45.png"/><Relationship Id="rId94" Type="http://schemas.openxmlformats.org/officeDocument/2006/relationships/image" Target="media/image46.png"/><Relationship Id="rId95" Type="http://schemas.openxmlformats.org/officeDocument/2006/relationships/image" Target="media/image47.png"/><Relationship Id="rId96" Type="http://schemas.openxmlformats.org/officeDocument/2006/relationships/image" Target="media/image48.png"/><Relationship Id="rId97" Type="http://schemas.openxmlformats.org/officeDocument/2006/relationships/image" Target="media/image49.png"/><Relationship Id="rId98" Type="http://schemas.openxmlformats.org/officeDocument/2006/relationships/image" Target="media/image50.png"/><Relationship Id="rId99" Type="http://schemas.openxmlformats.org/officeDocument/2006/relationships/image" Target="media/image51.png"/><Relationship Id="rId100" Type="http://schemas.openxmlformats.org/officeDocument/2006/relationships/image" Target="media/image52.png"/><Relationship Id="rId101" Type="http://schemas.openxmlformats.org/officeDocument/2006/relationships/image" Target="media/image53.png"/><Relationship Id="rId102" Type="http://schemas.openxmlformats.org/officeDocument/2006/relationships/hyperlink" Target="https://www.trelleborg.com/applied-technologies/-/media/applied-technologies/en/product-sheets/advanced-energy-control-materials/confor--technical-specs-form-2021.pdf?rev=05cf579e0c624552ab8f113f51c303b3" TargetMode="External"/><Relationship Id="rId103" Type="http://schemas.openxmlformats.org/officeDocument/2006/relationships/hyperlink" Target="https://www.rogerscorp.com/-/media/project/rogerscorp/documents/elastomeric-material-solutions/poron/english/data-sheets/17-387-ideal-cfd-curves-for-battery-pad-applications-poron-4701-40-sof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