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77" w:rsidRDefault="00A15277" w:rsidP="00A15277">
      <w:pPr>
        <w:pStyle w:val="a5"/>
        <w:numPr>
          <w:ilvl w:val="1"/>
          <w:numId w:val="2"/>
        </w:numPr>
        <w:tabs>
          <w:tab w:val="left" w:pos="3971"/>
          <w:tab w:val="left" w:pos="3972"/>
        </w:tabs>
        <w:ind w:firstLine="1978"/>
        <w:jc w:val="left"/>
        <w:rPr>
          <w:b/>
          <w:sz w:val="24"/>
        </w:rPr>
      </w:pPr>
      <w:r>
        <w:rPr>
          <w:b/>
          <w:sz w:val="24"/>
        </w:rPr>
        <w:t>МАКРОЭКОНОМИКА</w:t>
      </w:r>
    </w:p>
    <w:p w:rsidR="00A15277" w:rsidRDefault="00A15277" w:rsidP="00A15277">
      <w:pPr>
        <w:spacing w:before="2" w:after="1"/>
        <w:rPr>
          <w:b/>
          <w:sz w:val="1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08"/>
        <w:gridCol w:w="6085"/>
        <w:gridCol w:w="108"/>
      </w:tblGrid>
      <w:tr w:rsidR="00A15277" w:rsidTr="00543010">
        <w:trPr>
          <w:trHeight w:val="1933"/>
        </w:trPr>
        <w:tc>
          <w:tcPr>
            <w:tcW w:w="3169" w:type="dxa"/>
          </w:tcPr>
          <w:p w:rsidR="00A15277" w:rsidRDefault="00A15277" w:rsidP="00543010">
            <w:pPr>
              <w:pStyle w:val="TableParagraph"/>
              <w:ind w:right="1416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дисциплины</w:t>
            </w:r>
          </w:p>
        </w:tc>
        <w:tc>
          <w:tcPr>
            <w:tcW w:w="6301" w:type="dxa"/>
            <w:gridSpan w:val="3"/>
          </w:tcPr>
          <w:p w:rsidR="00A15277" w:rsidRPr="00A15277" w:rsidRDefault="00A15277" w:rsidP="00543010">
            <w:pPr>
              <w:pStyle w:val="TableParagraph"/>
              <w:ind w:right="96"/>
              <w:jc w:val="both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Формирование системных базовых научных представлений об особенностях поведения экономических субъектов, закономерностях функционирования национальной экономики как единого целого, механизме функционирования экономики на макроуровне, о целях и инструментах государственной макроэкономической</w:t>
            </w:r>
          </w:p>
          <w:p w:rsidR="00A15277" w:rsidRDefault="00A15277" w:rsidP="00543010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политики.</w:t>
            </w:r>
          </w:p>
        </w:tc>
      </w:tr>
      <w:tr w:rsidR="00A15277" w:rsidTr="00543010">
        <w:trPr>
          <w:trHeight w:val="4692"/>
        </w:trPr>
        <w:tc>
          <w:tcPr>
            <w:tcW w:w="3169" w:type="dxa"/>
          </w:tcPr>
          <w:p w:rsidR="00A15277" w:rsidRPr="00A15277" w:rsidRDefault="00A15277" w:rsidP="00543010">
            <w:pPr>
              <w:pStyle w:val="TableParagraph"/>
              <w:ind w:right="268"/>
              <w:rPr>
                <w:b/>
                <w:sz w:val="24"/>
                <w:lang w:val="ru-RU"/>
              </w:rPr>
            </w:pPr>
            <w:r w:rsidRPr="00A15277">
              <w:rPr>
                <w:b/>
                <w:sz w:val="24"/>
                <w:lang w:val="ru-RU"/>
              </w:rPr>
              <w:t>Место дисциплины в учебном плане и трудоемкость в зачетных единицах</w:t>
            </w:r>
          </w:p>
        </w:tc>
        <w:tc>
          <w:tcPr>
            <w:tcW w:w="108" w:type="dxa"/>
            <w:tcBorders>
              <w:right w:val="nil"/>
            </w:tcBorders>
          </w:tcPr>
          <w:p w:rsidR="00A15277" w:rsidRPr="00A15277" w:rsidRDefault="00A15277" w:rsidP="00543010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6085" w:type="dxa"/>
            <w:tcBorders>
              <w:left w:val="nil"/>
              <w:right w:val="nil"/>
            </w:tcBorders>
            <w:shd w:val="clear" w:color="auto" w:fill="FFFF00"/>
          </w:tcPr>
          <w:p w:rsidR="00A15277" w:rsidRPr="00A15277" w:rsidRDefault="00A15277" w:rsidP="00543010">
            <w:pPr>
              <w:pStyle w:val="TableParagraph"/>
              <w:tabs>
                <w:tab w:val="left" w:pos="1839"/>
                <w:tab w:val="left" w:pos="4454"/>
              </w:tabs>
              <w:ind w:left="4" w:right="-15"/>
              <w:jc w:val="both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Данная дисциплина относится к блоку Общей части программы</w:t>
            </w:r>
            <w:r w:rsidRPr="00A15277">
              <w:rPr>
                <w:sz w:val="24"/>
                <w:lang w:val="ru-RU"/>
              </w:rPr>
              <w:tab/>
              <w:t>профессиональной</w:t>
            </w:r>
            <w:r w:rsidRPr="00A15277">
              <w:rPr>
                <w:sz w:val="24"/>
                <w:lang w:val="ru-RU"/>
              </w:rPr>
              <w:tab/>
              <w:t>переподготовки</w:t>
            </w:r>
          </w:p>
          <w:p w:rsidR="00A15277" w:rsidRPr="00A15277" w:rsidRDefault="00A15277" w:rsidP="00543010">
            <w:pPr>
              <w:pStyle w:val="TableParagraph"/>
              <w:tabs>
                <w:tab w:val="left" w:pos="1812"/>
                <w:tab w:val="left" w:pos="4776"/>
              </w:tabs>
              <w:ind w:left="4" w:right="-15"/>
              <w:jc w:val="both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«Менеджмент». Дисциплина является одной из основных дисциплин, которая предназначена для формирования у слушателей теоретической базы по экономической теории. Изучение дисциплины базируется на знании основных положений экономической теории, отечественной истории, политологии, правоведении, менеджмента. Логически и содержательно-методологически она непосредственно связана с дисциплинами – Менеджмент, Маркетинг, Управление персоналом и организационное поведение,</w:t>
            </w:r>
            <w:r w:rsidRPr="00A15277">
              <w:rPr>
                <w:sz w:val="24"/>
                <w:lang w:val="ru-RU"/>
              </w:rPr>
              <w:tab/>
              <w:t>Бизнес-планирование,</w:t>
            </w:r>
            <w:r w:rsidRPr="00A15277">
              <w:rPr>
                <w:sz w:val="24"/>
                <w:lang w:val="ru-RU"/>
              </w:rPr>
              <w:tab/>
              <w:t xml:space="preserve">Финансовый менеджмент. Освоение дисциплины позволит подготовиться   к   решению   междисциплинарного </w:t>
            </w:r>
            <w:r w:rsidRPr="00A15277">
              <w:rPr>
                <w:spacing w:val="45"/>
                <w:sz w:val="24"/>
                <w:lang w:val="ru-RU"/>
              </w:rPr>
              <w:t xml:space="preserve"> </w:t>
            </w:r>
            <w:r w:rsidRPr="00A15277">
              <w:rPr>
                <w:sz w:val="24"/>
                <w:lang w:val="ru-RU"/>
              </w:rPr>
              <w:t>кейса</w:t>
            </w:r>
          </w:p>
          <w:p w:rsidR="00A15277" w:rsidRPr="00A15277" w:rsidRDefault="00A15277" w:rsidP="00543010">
            <w:pPr>
              <w:pStyle w:val="TableParagraph"/>
              <w:spacing w:line="270" w:lineRule="atLeast"/>
              <w:ind w:left="4" w:right="-15"/>
              <w:jc w:val="both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«Управленческие маркетинговые решения в современной организации» и к работе над проектом, выполняемым в рамках итоговой аттестационной работы.</w:t>
            </w:r>
          </w:p>
        </w:tc>
        <w:tc>
          <w:tcPr>
            <w:tcW w:w="108" w:type="dxa"/>
            <w:tcBorders>
              <w:left w:val="nil"/>
            </w:tcBorders>
          </w:tcPr>
          <w:p w:rsidR="00A15277" w:rsidRPr="00A15277" w:rsidRDefault="00A15277" w:rsidP="00543010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</w:tr>
      <w:tr w:rsidR="00A15277" w:rsidTr="00543010">
        <w:trPr>
          <w:trHeight w:val="551"/>
        </w:trPr>
        <w:tc>
          <w:tcPr>
            <w:tcW w:w="3169" w:type="dxa"/>
          </w:tcPr>
          <w:p w:rsidR="00A15277" w:rsidRDefault="00A15277" w:rsidP="0054301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Формируемые</w:t>
            </w:r>
          </w:p>
          <w:p w:rsidR="00A15277" w:rsidRDefault="00A15277" w:rsidP="0054301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компетенции</w:t>
            </w:r>
          </w:p>
        </w:tc>
        <w:tc>
          <w:tcPr>
            <w:tcW w:w="6301" w:type="dxa"/>
            <w:gridSpan w:val="3"/>
          </w:tcPr>
          <w:p w:rsidR="00A15277" w:rsidRPr="00A15277" w:rsidRDefault="00A15277" w:rsidP="00543010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ОК-3 способность использовать основы экономических</w:t>
            </w:r>
          </w:p>
          <w:p w:rsidR="00A15277" w:rsidRPr="00A15277" w:rsidRDefault="00A15277" w:rsidP="0054301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знаний в различных сферах деятельности</w:t>
            </w:r>
          </w:p>
        </w:tc>
      </w:tr>
      <w:tr w:rsidR="00A15277" w:rsidTr="00543010">
        <w:trPr>
          <w:trHeight w:val="4416"/>
        </w:trPr>
        <w:tc>
          <w:tcPr>
            <w:tcW w:w="3169" w:type="dxa"/>
          </w:tcPr>
          <w:p w:rsidR="00A15277" w:rsidRDefault="00A15277" w:rsidP="0054301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дисциплины</w:t>
            </w:r>
          </w:p>
        </w:tc>
        <w:tc>
          <w:tcPr>
            <w:tcW w:w="6301" w:type="dxa"/>
            <w:gridSpan w:val="3"/>
          </w:tcPr>
          <w:p w:rsid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right="742" w:firstLine="0"/>
              <w:rPr>
                <w:sz w:val="24"/>
              </w:rPr>
            </w:pPr>
            <w:r w:rsidRPr="00A15277">
              <w:rPr>
                <w:sz w:val="24"/>
                <w:lang w:val="ru-RU"/>
              </w:rPr>
              <w:t>Макроэкономика: предмет и методология. Основные макроэкономические показатели.</w:t>
            </w:r>
            <w:r w:rsidRPr="00A15277">
              <w:rPr>
                <w:spacing w:val="-2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Система национальных счетов.</w:t>
            </w:r>
          </w:p>
          <w:p w:rsidR="00A15277" w:rsidRP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right="898" w:firstLine="0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Рынок благ. Совокупный спрос.</w:t>
            </w:r>
            <w:r w:rsidRPr="00A15277">
              <w:rPr>
                <w:spacing w:val="-14"/>
                <w:sz w:val="24"/>
                <w:lang w:val="ru-RU"/>
              </w:rPr>
              <w:t xml:space="preserve"> </w:t>
            </w:r>
            <w:r w:rsidRPr="00A15277">
              <w:rPr>
                <w:sz w:val="24"/>
                <w:lang w:val="ru-RU"/>
              </w:rPr>
              <w:t>Совокупное предложение.</w:t>
            </w:r>
          </w:p>
          <w:p w:rsidR="00A15277" w:rsidRP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right="341" w:firstLine="0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Макроэкономическое равновесие. Классическая</w:t>
            </w:r>
            <w:r w:rsidRPr="00A15277">
              <w:rPr>
                <w:spacing w:val="-16"/>
                <w:sz w:val="24"/>
                <w:lang w:val="ru-RU"/>
              </w:rPr>
              <w:t xml:space="preserve"> </w:t>
            </w:r>
            <w:r w:rsidRPr="00A15277">
              <w:rPr>
                <w:sz w:val="24"/>
                <w:lang w:val="ru-RU"/>
              </w:rPr>
              <w:t>и кейнсианская модели макроэкономического</w:t>
            </w:r>
            <w:r w:rsidRPr="00A15277">
              <w:rPr>
                <w:spacing w:val="-16"/>
                <w:sz w:val="24"/>
                <w:lang w:val="ru-RU"/>
              </w:rPr>
              <w:t xml:space="preserve"> </w:t>
            </w:r>
            <w:r w:rsidRPr="00A15277">
              <w:rPr>
                <w:sz w:val="24"/>
                <w:lang w:val="ru-RU"/>
              </w:rPr>
              <w:t>равновесия.</w:t>
            </w:r>
          </w:p>
          <w:p w:rsidR="00A15277" w:rsidRP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right="127" w:firstLine="0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 xml:space="preserve">Денежный рынок. Равновесие на денежном рынке и кривая </w:t>
            </w:r>
            <w:r>
              <w:rPr>
                <w:sz w:val="24"/>
              </w:rPr>
              <w:t>LM</w:t>
            </w:r>
            <w:r w:rsidRPr="00A15277">
              <w:rPr>
                <w:sz w:val="24"/>
                <w:lang w:val="ru-RU"/>
              </w:rPr>
              <w:t>.</w:t>
            </w:r>
          </w:p>
          <w:p w:rsid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Модель IS/LM</w:t>
            </w:r>
          </w:p>
          <w:p w:rsid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Инфляция</w:t>
            </w:r>
          </w:p>
          <w:p w:rsid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Рынок труда.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Безработица.</w:t>
            </w:r>
          </w:p>
          <w:p w:rsidR="00A15277" w:rsidRP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right="109" w:firstLine="0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Макроэкономическая нестабильность.</w:t>
            </w:r>
            <w:r w:rsidRPr="00A15277">
              <w:rPr>
                <w:spacing w:val="-21"/>
                <w:sz w:val="24"/>
                <w:lang w:val="ru-RU"/>
              </w:rPr>
              <w:t xml:space="preserve"> </w:t>
            </w:r>
            <w:r w:rsidRPr="00A15277">
              <w:rPr>
                <w:sz w:val="24"/>
                <w:lang w:val="ru-RU"/>
              </w:rPr>
              <w:t>Циклический характер развития</w:t>
            </w:r>
            <w:r w:rsidRPr="00A15277">
              <w:rPr>
                <w:spacing w:val="-1"/>
                <w:sz w:val="24"/>
                <w:lang w:val="ru-RU"/>
              </w:rPr>
              <w:t xml:space="preserve"> </w:t>
            </w:r>
            <w:r w:rsidRPr="00A15277">
              <w:rPr>
                <w:sz w:val="24"/>
                <w:lang w:val="ru-RU"/>
              </w:rPr>
              <w:t>экономики.</w:t>
            </w:r>
          </w:p>
          <w:p w:rsid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Экономический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рост.</w:t>
            </w:r>
          </w:p>
          <w:p w:rsidR="00A15277" w:rsidRDefault="00A15277" w:rsidP="00A15277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line="264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Государственное регулирование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экономики.</w:t>
            </w:r>
          </w:p>
        </w:tc>
      </w:tr>
      <w:tr w:rsidR="00A15277" w:rsidTr="00543010">
        <w:trPr>
          <w:trHeight w:val="551"/>
        </w:trPr>
        <w:tc>
          <w:tcPr>
            <w:tcW w:w="3169" w:type="dxa"/>
          </w:tcPr>
          <w:p w:rsidR="00A15277" w:rsidRDefault="00A15277" w:rsidP="0054301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Виды учебной работы</w:t>
            </w:r>
          </w:p>
        </w:tc>
        <w:tc>
          <w:tcPr>
            <w:tcW w:w="6301" w:type="dxa"/>
            <w:gridSpan w:val="3"/>
          </w:tcPr>
          <w:p w:rsidR="00A15277" w:rsidRPr="00A15277" w:rsidRDefault="00A15277" w:rsidP="00543010">
            <w:pPr>
              <w:pStyle w:val="TableParagraph"/>
              <w:tabs>
                <w:tab w:val="left" w:pos="1452"/>
                <w:tab w:val="left" w:pos="3443"/>
                <w:tab w:val="left" w:pos="5345"/>
              </w:tabs>
              <w:spacing w:line="268" w:lineRule="exact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Лекции,</w:t>
            </w:r>
            <w:r w:rsidRPr="00A15277">
              <w:rPr>
                <w:sz w:val="24"/>
                <w:lang w:val="ru-RU"/>
              </w:rPr>
              <w:tab/>
              <w:t>консультации,</w:t>
            </w:r>
            <w:r w:rsidRPr="00A15277">
              <w:rPr>
                <w:sz w:val="24"/>
                <w:lang w:val="ru-RU"/>
              </w:rPr>
              <w:tab/>
              <w:t>практические</w:t>
            </w:r>
            <w:r w:rsidRPr="00A15277">
              <w:rPr>
                <w:sz w:val="24"/>
                <w:lang w:val="ru-RU"/>
              </w:rPr>
              <w:tab/>
              <w:t>занятия,</w:t>
            </w:r>
          </w:p>
          <w:p w:rsidR="00A15277" w:rsidRPr="00A15277" w:rsidRDefault="00A15277" w:rsidP="0054301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самостоятельная работа.</w:t>
            </w:r>
          </w:p>
        </w:tc>
      </w:tr>
      <w:tr w:rsidR="00A15277" w:rsidTr="00543010">
        <w:trPr>
          <w:trHeight w:val="1104"/>
        </w:trPr>
        <w:tc>
          <w:tcPr>
            <w:tcW w:w="3169" w:type="dxa"/>
          </w:tcPr>
          <w:p w:rsidR="00A15277" w:rsidRDefault="00A15277" w:rsidP="00543010">
            <w:pPr>
              <w:pStyle w:val="TableParagraph"/>
              <w:spacing w:line="276" w:lineRule="exact"/>
              <w:ind w:right="1011"/>
              <w:rPr>
                <w:b/>
                <w:sz w:val="24"/>
              </w:rPr>
            </w:pPr>
            <w:r>
              <w:rPr>
                <w:b/>
                <w:sz w:val="24"/>
              </w:rPr>
              <w:t>Характеристика образовательных технологий, информационных,</w:t>
            </w:r>
          </w:p>
        </w:tc>
        <w:tc>
          <w:tcPr>
            <w:tcW w:w="6301" w:type="dxa"/>
            <w:gridSpan w:val="3"/>
          </w:tcPr>
          <w:p w:rsidR="00A15277" w:rsidRPr="00A15277" w:rsidRDefault="00A15277" w:rsidP="00543010">
            <w:pPr>
              <w:pStyle w:val="TableParagraph"/>
              <w:ind w:right="98"/>
              <w:jc w:val="both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Лекции с проблемным изложением материала, деловые игры, разбор конкретных ситуаций, тесты, а также предусматривается внеаудиторная самостоятельная работа</w:t>
            </w:r>
          </w:p>
          <w:p w:rsidR="00A15277" w:rsidRPr="00A15277" w:rsidRDefault="00A15277" w:rsidP="00543010">
            <w:pPr>
              <w:pStyle w:val="TableParagraph"/>
              <w:spacing w:line="264" w:lineRule="exact"/>
              <w:jc w:val="both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с   целью   формирования   и   развития профессиональных</w:t>
            </w:r>
          </w:p>
        </w:tc>
      </w:tr>
    </w:tbl>
    <w:p w:rsidR="00A15277" w:rsidRDefault="00A15277" w:rsidP="00A15277">
      <w:pPr>
        <w:spacing w:line="264" w:lineRule="exact"/>
        <w:jc w:val="both"/>
        <w:rPr>
          <w:sz w:val="24"/>
        </w:rPr>
        <w:sectPr w:rsidR="00A15277">
          <w:headerReference w:type="even" r:id="rId5"/>
          <w:pgSz w:w="11910" w:h="16840"/>
          <w:pgMar w:top="1860" w:right="720" w:bottom="280" w:left="1480" w:header="1599" w:footer="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301"/>
      </w:tblGrid>
      <w:tr w:rsidR="00A15277" w:rsidTr="00543010">
        <w:trPr>
          <w:trHeight w:val="830"/>
        </w:trPr>
        <w:tc>
          <w:tcPr>
            <w:tcW w:w="3169" w:type="dxa"/>
          </w:tcPr>
          <w:p w:rsidR="00A15277" w:rsidRPr="00A15277" w:rsidRDefault="00A15277" w:rsidP="00543010">
            <w:pPr>
              <w:pStyle w:val="TableParagraph"/>
              <w:ind w:right="662"/>
              <w:rPr>
                <w:b/>
                <w:sz w:val="24"/>
                <w:lang w:val="ru-RU"/>
              </w:rPr>
            </w:pPr>
            <w:r w:rsidRPr="00A15277">
              <w:rPr>
                <w:b/>
                <w:sz w:val="24"/>
                <w:lang w:val="ru-RU"/>
              </w:rPr>
              <w:lastRenderedPageBreak/>
              <w:t>программных и иных средств обучения</w:t>
            </w:r>
          </w:p>
        </w:tc>
        <w:tc>
          <w:tcPr>
            <w:tcW w:w="6301" w:type="dxa"/>
          </w:tcPr>
          <w:p w:rsidR="00A15277" w:rsidRPr="00A15277" w:rsidRDefault="00A15277" w:rsidP="00543010">
            <w:pPr>
              <w:pStyle w:val="TableParagraph"/>
              <w:spacing w:line="265" w:lineRule="exact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навыков слушателей.</w:t>
            </w:r>
          </w:p>
          <w:p w:rsidR="00A15277" w:rsidRPr="00A15277" w:rsidRDefault="00A15277" w:rsidP="00543010">
            <w:pPr>
              <w:pStyle w:val="TableParagraph"/>
              <w:tabs>
                <w:tab w:val="left" w:pos="999"/>
                <w:tab w:val="left" w:pos="2181"/>
                <w:tab w:val="left" w:pos="2663"/>
                <w:tab w:val="left" w:pos="4702"/>
                <w:tab w:val="left" w:pos="6059"/>
              </w:tabs>
              <w:spacing w:line="270" w:lineRule="atLeast"/>
              <w:ind w:right="100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Доля</w:t>
            </w:r>
            <w:r w:rsidRPr="00A15277">
              <w:rPr>
                <w:sz w:val="24"/>
                <w:lang w:val="ru-RU"/>
              </w:rPr>
              <w:tab/>
              <w:t>занятий</w:t>
            </w:r>
            <w:r w:rsidRPr="00A15277">
              <w:rPr>
                <w:sz w:val="24"/>
                <w:lang w:val="ru-RU"/>
              </w:rPr>
              <w:tab/>
              <w:t>с</w:t>
            </w:r>
            <w:r w:rsidRPr="00A15277">
              <w:rPr>
                <w:sz w:val="24"/>
                <w:lang w:val="ru-RU"/>
              </w:rPr>
              <w:tab/>
              <w:t>использованием</w:t>
            </w:r>
            <w:r w:rsidRPr="00A15277">
              <w:rPr>
                <w:sz w:val="24"/>
                <w:lang w:val="ru-RU"/>
              </w:rPr>
              <w:tab/>
              <w:t>активных</w:t>
            </w:r>
            <w:r w:rsidRPr="00A15277">
              <w:rPr>
                <w:sz w:val="24"/>
                <w:lang w:val="ru-RU"/>
              </w:rPr>
              <w:tab/>
              <w:t>и интерактивных методов составляет 50%.</w:t>
            </w:r>
          </w:p>
        </w:tc>
      </w:tr>
      <w:tr w:rsidR="00A15277" w:rsidTr="00543010">
        <w:trPr>
          <w:trHeight w:val="827"/>
        </w:trPr>
        <w:tc>
          <w:tcPr>
            <w:tcW w:w="3169" w:type="dxa"/>
          </w:tcPr>
          <w:p w:rsidR="00A15277" w:rsidRPr="00A15277" w:rsidRDefault="00A15277" w:rsidP="00543010">
            <w:pPr>
              <w:pStyle w:val="TableParagraph"/>
              <w:ind w:right="465"/>
              <w:rPr>
                <w:b/>
                <w:sz w:val="24"/>
                <w:lang w:val="ru-RU"/>
              </w:rPr>
            </w:pPr>
            <w:r w:rsidRPr="00A15277">
              <w:rPr>
                <w:b/>
                <w:sz w:val="24"/>
                <w:lang w:val="ru-RU"/>
              </w:rPr>
              <w:t>Формы текущего контроля успеваемости</w:t>
            </w:r>
          </w:p>
          <w:p w:rsidR="00A15277" w:rsidRPr="00A15277" w:rsidRDefault="00A15277" w:rsidP="00543010">
            <w:pPr>
              <w:pStyle w:val="TableParagraph"/>
              <w:spacing w:line="265" w:lineRule="exact"/>
              <w:rPr>
                <w:b/>
                <w:sz w:val="24"/>
                <w:lang w:val="ru-RU"/>
              </w:rPr>
            </w:pPr>
            <w:r w:rsidRPr="00A15277">
              <w:rPr>
                <w:b/>
                <w:sz w:val="24"/>
                <w:lang w:val="ru-RU"/>
              </w:rPr>
              <w:t>студентов</w:t>
            </w:r>
          </w:p>
        </w:tc>
        <w:tc>
          <w:tcPr>
            <w:tcW w:w="6301" w:type="dxa"/>
          </w:tcPr>
          <w:p w:rsidR="00A15277" w:rsidRPr="00A15277" w:rsidRDefault="00A15277" w:rsidP="00543010">
            <w:pPr>
              <w:pStyle w:val="TableParagraph"/>
              <w:spacing w:line="262" w:lineRule="exact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 xml:space="preserve">Текущий контроль осуществляется в системе </w:t>
            </w:r>
            <w:r>
              <w:rPr>
                <w:sz w:val="24"/>
              </w:rPr>
              <w:t>Moodle</w:t>
            </w:r>
          </w:p>
        </w:tc>
      </w:tr>
      <w:tr w:rsidR="00A15277" w:rsidTr="00543010">
        <w:trPr>
          <w:trHeight w:val="827"/>
        </w:trPr>
        <w:tc>
          <w:tcPr>
            <w:tcW w:w="3169" w:type="dxa"/>
          </w:tcPr>
          <w:p w:rsidR="00A15277" w:rsidRPr="00A15277" w:rsidRDefault="00A15277" w:rsidP="00543010">
            <w:pPr>
              <w:pStyle w:val="TableParagraph"/>
              <w:ind w:right="1306"/>
              <w:rPr>
                <w:b/>
                <w:sz w:val="24"/>
                <w:lang w:val="ru-RU"/>
              </w:rPr>
            </w:pPr>
            <w:r w:rsidRPr="00A15277">
              <w:rPr>
                <w:b/>
                <w:sz w:val="24"/>
                <w:lang w:val="ru-RU"/>
              </w:rPr>
              <w:t>Виды и формы промежуточной</w:t>
            </w:r>
          </w:p>
          <w:p w:rsidR="00A15277" w:rsidRPr="00A15277" w:rsidRDefault="00A15277" w:rsidP="00543010">
            <w:pPr>
              <w:pStyle w:val="TableParagraph"/>
              <w:spacing w:line="265" w:lineRule="exact"/>
              <w:rPr>
                <w:b/>
                <w:sz w:val="24"/>
                <w:lang w:val="ru-RU"/>
              </w:rPr>
            </w:pPr>
            <w:r w:rsidRPr="00A15277">
              <w:rPr>
                <w:b/>
                <w:sz w:val="24"/>
                <w:lang w:val="ru-RU"/>
              </w:rPr>
              <w:t>аттестации</w:t>
            </w:r>
          </w:p>
        </w:tc>
        <w:tc>
          <w:tcPr>
            <w:tcW w:w="6301" w:type="dxa"/>
          </w:tcPr>
          <w:p w:rsidR="00A15277" w:rsidRPr="00A15277" w:rsidRDefault="00A15277" w:rsidP="00543010">
            <w:pPr>
              <w:pStyle w:val="TableParagraph"/>
              <w:rPr>
                <w:sz w:val="24"/>
                <w:lang w:val="ru-RU"/>
              </w:rPr>
            </w:pPr>
            <w:r w:rsidRPr="00A15277">
              <w:rPr>
                <w:sz w:val="24"/>
                <w:lang w:val="ru-RU"/>
              </w:rPr>
              <w:t>Промежуточный контроль знаний представляет собой экзамен в форме тестирования.</w:t>
            </w:r>
          </w:p>
        </w:tc>
      </w:tr>
    </w:tbl>
    <w:p w:rsidR="00AA059E" w:rsidRDefault="00A15277"/>
    <w:p w:rsidR="00A15277" w:rsidRDefault="00A15277">
      <w:bookmarkStart w:id="0" w:name="_GoBack"/>
      <w:bookmarkEnd w:id="0"/>
    </w:p>
    <w:sectPr w:rsidR="00A15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CE" w:rsidRDefault="00A15277">
    <w:pPr>
      <w:pStyle w:val="a3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2476500</wp:posOffset>
              </wp:positionH>
              <wp:positionV relativeFrom="page">
                <wp:posOffset>1002665</wp:posOffset>
              </wp:positionV>
              <wp:extent cx="3146425" cy="194310"/>
              <wp:effectExtent l="0" t="2540" r="0" b="317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3CE" w:rsidRDefault="00A15277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Аннотация рабочей программы дисциплины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195pt;margin-top:78.95pt;width:247.7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" filled="f" stroked="f">
              <v:textbox inset="0,0,0,0">
                <w:txbxContent>
                  <w:p w:rsidR="002703CE" w:rsidRDefault="00A15277">
                    <w:pPr>
                      <w:pStyle w:val="a3"/>
                      <w:spacing w:before="10"/>
                      <w:ind w:left="20"/>
                    </w:pPr>
                    <w:r>
                      <w:t>Аннотация рабочей программы дисциплины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A2D0F"/>
    <w:multiLevelType w:val="multilevel"/>
    <w:tmpl w:val="966C3632"/>
    <w:lvl w:ilvl="0">
      <w:start w:val="2"/>
      <w:numFmt w:val="decimal"/>
      <w:lvlText w:val="%1"/>
      <w:lvlJc w:val="left"/>
      <w:pPr>
        <w:ind w:left="3971" w:hanging="708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708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4616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52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88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61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97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33" w:hanging="708"/>
      </w:pPr>
      <w:rPr>
        <w:rFonts w:hint="default"/>
        <w:lang w:val="ru-RU" w:eastAsia="ru-RU" w:bidi="ru-RU"/>
      </w:rPr>
    </w:lvl>
  </w:abstractNum>
  <w:abstractNum w:abstractNumId="1" w15:restartNumberingAfterBreak="0">
    <w:nsid w:val="45D40855"/>
    <w:multiLevelType w:val="hybridMultilevel"/>
    <w:tmpl w:val="B0F09876"/>
    <w:lvl w:ilvl="0" w:tplc="878ED914">
      <w:start w:val="1"/>
      <w:numFmt w:val="decimal"/>
      <w:lvlText w:val="%1"/>
      <w:lvlJc w:val="left"/>
      <w:pPr>
        <w:ind w:left="107" w:hanging="70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5AF026E8">
      <w:numFmt w:val="bullet"/>
      <w:lvlText w:val="•"/>
      <w:lvlJc w:val="left"/>
      <w:pPr>
        <w:ind w:left="719" w:hanging="708"/>
      </w:pPr>
      <w:rPr>
        <w:rFonts w:hint="default"/>
        <w:lang w:val="ru-RU" w:eastAsia="ru-RU" w:bidi="ru-RU"/>
      </w:rPr>
    </w:lvl>
    <w:lvl w:ilvl="2" w:tplc="F384C6F6">
      <w:numFmt w:val="bullet"/>
      <w:lvlText w:val="•"/>
      <w:lvlJc w:val="left"/>
      <w:pPr>
        <w:ind w:left="1338" w:hanging="708"/>
      </w:pPr>
      <w:rPr>
        <w:rFonts w:hint="default"/>
        <w:lang w:val="ru-RU" w:eastAsia="ru-RU" w:bidi="ru-RU"/>
      </w:rPr>
    </w:lvl>
    <w:lvl w:ilvl="3" w:tplc="68AE332A">
      <w:numFmt w:val="bullet"/>
      <w:lvlText w:val="•"/>
      <w:lvlJc w:val="left"/>
      <w:pPr>
        <w:ind w:left="1957" w:hanging="708"/>
      </w:pPr>
      <w:rPr>
        <w:rFonts w:hint="default"/>
        <w:lang w:val="ru-RU" w:eastAsia="ru-RU" w:bidi="ru-RU"/>
      </w:rPr>
    </w:lvl>
    <w:lvl w:ilvl="4" w:tplc="19CABF20">
      <w:numFmt w:val="bullet"/>
      <w:lvlText w:val="•"/>
      <w:lvlJc w:val="left"/>
      <w:pPr>
        <w:ind w:left="2576" w:hanging="708"/>
      </w:pPr>
      <w:rPr>
        <w:rFonts w:hint="default"/>
        <w:lang w:val="ru-RU" w:eastAsia="ru-RU" w:bidi="ru-RU"/>
      </w:rPr>
    </w:lvl>
    <w:lvl w:ilvl="5" w:tplc="BA7E12B4">
      <w:numFmt w:val="bullet"/>
      <w:lvlText w:val="•"/>
      <w:lvlJc w:val="left"/>
      <w:pPr>
        <w:ind w:left="3195" w:hanging="708"/>
      </w:pPr>
      <w:rPr>
        <w:rFonts w:hint="default"/>
        <w:lang w:val="ru-RU" w:eastAsia="ru-RU" w:bidi="ru-RU"/>
      </w:rPr>
    </w:lvl>
    <w:lvl w:ilvl="6" w:tplc="CED2EC2C">
      <w:numFmt w:val="bullet"/>
      <w:lvlText w:val="•"/>
      <w:lvlJc w:val="left"/>
      <w:pPr>
        <w:ind w:left="3814" w:hanging="708"/>
      </w:pPr>
      <w:rPr>
        <w:rFonts w:hint="default"/>
        <w:lang w:val="ru-RU" w:eastAsia="ru-RU" w:bidi="ru-RU"/>
      </w:rPr>
    </w:lvl>
    <w:lvl w:ilvl="7" w:tplc="DB7A5CD4">
      <w:numFmt w:val="bullet"/>
      <w:lvlText w:val="•"/>
      <w:lvlJc w:val="left"/>
      <w:pPr>
        <w:ind w:left="4433" w:hanging="708"/>
      </w:pPr>
      <w:rPr>
        <w:rFonts w:hint="default"/>
        <w:lang w:val="ru-RU" w:eastAsia="ru-RU" w:bidi="ru-RU"/>
      </w:rPr>
    </w:lvl>
    <w:lvl w:ilvl="8" w:tplc="ACBE7A2C">
      <w:numFmt w:val="bullet"/>
      <w:lvlText w:val="•"/>
      <w:lvlJc w:val="left"/>
      <w:pPr>
        <w:ind w:left="5052" w:hanging="70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92"/>
    <w:rsid w:val="001A3864"/>
    <w:rsid w:val="005D4092"/>
    <w:rsid w:val="00A15277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FD10D"/>
  <w15:chartTrackingRefBased/>
  <w15:docId w15:val="{9F757F12-B93A-4027-99F9-837145A9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52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152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15277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15277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A15277"/>
    <w:pPr>
      <w:ind w:left="1285" w:hanging="768"/>
    </w:pPr>
  </w:style>
  <w:style w:type="paragraph" w:customStyle="1" w:styleId="TableParagraph">
    <w:name w:val="Table Paragraph"/>
    <w:basedOn w:val="a"/>
    <w:uiPriority w:val="1"/>
    <w:qFormat/>
    <w:rsid w:val="00A15277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2017-10-06T12:04:00Z</dcterms:created>
  <dcterms:modified xsi:type="dcterms:W3CDTF">2017-10-06T12:04:00Z</dcterms:modified>
</cp:coreProperties>
</file>