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8"/>
        <w:gridCol w:w="1989"/>
      </w:tblGrid>
      <w:tr w:rsidR="00D03D59" w:rsidRPr="00D03D59" w:rsidTr="00D03D59">
        <w:tc>
          <w:tcPr>
            <w:tcW w:w="0" w:type="auto"/>
            <w:tcBorders>
              <w:top w:val="single" w:sz="6" w:space="0" w:color="CCCCCC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0"/>
              <w:gridCol w:w="4872"/>
            </w:tblGrid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Название: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Микроэкономика</w:t>
                  </w:r>
                </w:p>
              </w:tc>
            </w:tr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Автор: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4" w:history="1">
                    <w:r w:rsidRPr="00D03D59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Старостина Ульяна Яковлевна</w:t>
                    </w:r>
                  </w:hyperlink>
                </w:p>
              </w:tc>
            </w:tr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Подразделение: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5" w:history="1">
                    <w:r w:rsidRPr="00D03D59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Кафедра мировой и национальной экономики</w:t>
                    </w:r>
                  </w:hyperlink>
                </w:p>
              </w:tc>
            </w:tr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Дата утверждения: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31.08.2016</w:t>
                  </w:r>
                </w:p>
              </w:tc>
            </w:tr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Издательство: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- М.: ВАВТ (www.vavt.ru)</w:t>
                  </w:r>
                </w:p>
              </w:tc>
            </w:tr>
            <w:tr w:rsidR="00D03D59" w:rsidRPr="00D03D59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Категория учащихся: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03D59" w:rsidRPr="00D03D59" w:rsidRDefault="00D03D59" w:rsidP="00D03D5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03D59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1 курс |ФВМ </w:t>
                  </w:r>
                  <w:proofErr w:type="spellStart"/>
                  <w:r w:rsidRPr="00D03D59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Бакалавриат</w:t>
                  </w:r>
                  <w:proofErr w:type="spellEnd"/>
                  <w:r w:rsidRPr="00D03D59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 |очная форма</w:t>
                  </w:r>
                </w:p>
              </w:tc>
            </w:tr>
          </w:tbl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D03D59" w:rsidRPr="00D03D59" w:rsidRDefault="00D03D59" w:rsidP="00D03D59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noProof/>
                <w:color w:val="4C5B6E"/>
                <w:sz w:val="21"/>
                <w:szCs w:val="21"/>
                <w:lang w:eastAsia="ru-RU"/>
              </w:rPr>
              <w:drawing>
                <wp:inline distT="0" distB="0" distL="0" distR="0">
                  <wp:extent cx="1200150" cy="1695450"/>
                  <wp:effectExtent l="0" t="0" r="0" b="0"/>
                  <wp:docPr id="1" name="Рисунок 1" descr="http://vavt.ru/papkavav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avt.ru/papkavav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D59" w:rsidRPr="00D03D59" w:rsidRDefault="00D03D59" w:rsidP="00D03D59">
      <w:pPr>
        <w:shd w:val="clear" w:color="auto" w:fill="FFFFFF"/>
        <w:spacing w:after="60" w:line="240" w:lineRule="auto"/>
        <w:rPr>
          <w:rFonts w:ascii="Arial" w:eastAsia="Times New Roman" w:hAnsi="Arial" w:cs="Arial"/>
          <w:vanish/>
          <w:color w:val="4C5B6E"/>
          <w:sz w:val="21"/>
          <w:szCs w:val="21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0"/>
        <w:gridCol w:w="1650"/>
        <w:gridCol w:w="1275"/>
      </w:tblGrid>
      <w:tr w:rsidR="00D03D59" w:rsidRPr="00D03D59" w:rsidTr="00D03D5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Название файла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Объем (КБ)</w:t>
            </w:r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Загрузка</w:t>
            </w:r>
          </w:p>
        </w:tc>
      </w:tr>
      <w:tr w:rsidR="00D03D59" w:rsidRPr="00D03D59" w:rsidTr="00D03D5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Микроэкономика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03D59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 xml:space="preserve">2558 </w:t>
            </w:r>
            <w:proofErr w:type="spellStart"/>
            <w:r w:rsidRPr="00D03D59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kb</w:t>
            </w:r>
            <w:proofErr w:type="spellEnd"/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3D59" w:rsidRPr="00D03D59" w:rsidRDefault="00D03D59" w:rsidP="00D03D59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</w:tr>
    </w:tbl>
    <w:p w:rsidR="00D03D59" w:rsidRPr="00D03D59" w:rsidRDefault="00D03D59" w:rsidP="00D03D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</w:p>
    <w:p w:rsidR="00D03D59" w:rsidRPr="00D03D59" w:rsidRDefault="00D03D59" w:rsidP="00D03D59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</w:pPr>
      <w:r w:rsidRPr="00D03D59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Аннотация</w:t>
      </w:r>
    </w:p>
    <w:p w:rsidR="00D03D59" w:rsidRPr="00D03D59" w:rsidRDefault="00D03D59" w:rsidP="00D03D59">
      <w:pPr>
        <w:shd w:val="clear" w:color="auto" w:fill="FFFFFF"/>
        <w:spacing w:after="75" w:line="240" w:lineRule="auto"/>
        <w:ind w:left="45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  <w:r w:rsidRPr="00D03D59">
        <w:rPr>
          <w:rFonts w:ascii="Times New Roman" w:eastAsia="Times New Roman" w:hAnsi="Times New Roman" w:cs="Times New Roman"/>
          <w:b/>
          <w:bCs/>
          <w:color w:val="4C5B6E"/>
          <w:sz w:val="21"/>
          <w:szCs w:val="21"/>
          <w:lang w:eastAsia="ru-RU"/>
        </w:rPr>
        <w:t xml:space="preserve">1. 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Цель освоения дисциплины: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Цель освоения дисциплины состоит в формировании у студентов компетенций, необходимых для понимания важнейших категорий и закономерностей функционирования экономики, умения анализировать деятельность экономических субъектов в условиях ограниченности ресурсов с целью обеспечения благосостояния, и применять полученные знания для обоснования эффективных управленческих решений.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b/>
          <w:bCs/>
          <w:color w:val="4C5B6E"/>
          <w:sz w:val="21"/>
          <w:szCs w:val="21"/>
          <w:lang w:eastAsia="ru-RU"/>
        </w:rPr>
        <w:t xml:space="preserve">2. 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Место дисциплины в структуре ООП: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Дисциплина «Микроэкономика» относится к базовой части экономического цикла направления 38.03.02 «Менеджмент»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b/>
          <w:bCs/>
          <w:color w:val="4C5B6E"/>
          <w:sz w:val="21"/>
          <w:szCs w:val="21"/>
          <w:lang w:eastAsia="ru-RU"/>
        </w:rPr>
        <w:t xml:space="preserve">3. 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Требования к результатам освоения дисциплины: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Процесс изучения дисциплин «Микроэкономика» направлен на формирование и развитие компетенций: ОК-3, ОК-4, ОК-5, ОК-6, ОПК-4, ОПК-7, ПК-9, ПК-10, ПК-15, ПК-17.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В результате освоения дисциплины студент должен: 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Знать: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•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основные понятия и модели в микроэкономике 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Уметь: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•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применять понятийно-категориальный аппарат, основные законы гуманитарных и социальных наук в профессиональной деятельности;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•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проводить анализ отрасли (рынка), используя экономические модели;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•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использовать экономический инструментарий для анализа внешней и внутренней среды бизнеса (организации)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Владеть: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• навыками извлечения необходимой информации из оригинального текста на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иностранном языке по проблемам экономики и бизнеса; ° экономическими методами анализа поведения потребителей, производителей,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собственников ресурсов и государства.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4. Общая трудоемкость дисциплины составляет 4 зачетные единицы (144 часа).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b/>
          <w:bCs/>
          <w:color w:val="4C5B6E"/>
          <w:sz w:val="21"/>
          <w:szCs w:val="21"/>
          <w:lang w:eastAsia="ru-RU"/>
        </w:rPr>
        <w:t xml:space="preserve">5. 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Семестры: 1.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b/>
          <w:bCs/>
          <w:color w:val="4C5B6E"/>
          <w:sz w:val="21"/>
          <w:szCs w:val="21"/>
          <w:lang w:eastAsia="ru-RU"/>
        </w:rPr>
        <w:t xml:space="preserve">6. 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Основные разделы дисциплины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1.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Введение в экономику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2.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Рыночное равновесие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3.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Специализация и торговля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4.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Выбор потребителя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5.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Теория производства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6.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Издержки фирмы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7.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Совершенная конкуренция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8.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Монополия. Монопольная власть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9.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Несовершенная конкуренция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10.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Рынок труда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Times New Roman" w:eastAsia="Times New Roman" w:hAnsi="Times New Roman" w:cs="Times New Roman"/>
          <w:color w:val="4C5B6E"/>
          <w:sz w:val="21"/>
          <w:szCs w:val="21"/>
          <w:lang w:eastAsia="ru-RU"/>
        </w:rPr>
        <w:t xml:space="preserve">11. 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Внешние эффекты и общественные блага</w:t>
      </w:r>
      <w:r w:rsidRPr="00D03D59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lastRenderedPageBreak/>
        <w:t>Автор: Старостина </w:t>
      </w:r>
      <w:r w:rsidRPr="00D03D59">
        <w:rPr>
          <w:rFonts w:ascii="MS Reference Sans Serif" w:eastAsia="Times New Roman" w:hAnsi="MS Reference Sans Serif" w:cs="Arial"/>
          <w:b/>
          <w:bCs/>
          <w:color w:val="4C5B6E"/>
          <w:sz w:val="21"/>
          <w:szCs w:val="21"/>
          <w:lang w:eastAsia="ru-RU"/>
        </w:rPr>
        <w:t>У.Я., </w:t>
      </w:r>
      <w:r w:rsidRPr="00D03D59">
        <w:rPr>
          <w:rFonts w:ascii="MS Reference Sans Serif" w:eastAsia="Times New Roman" w:hAnsi="MS Reference Sans Serif" w:cs="Arial"/>
          <w:color w:val="4C5B6E"/>
          <w:sz w:val="21"/>
          <w:szCs w:val="21"/>
          <w:lang w:eastAsia="ru-RU"/>
        </w:rPr>
        <w:t>доцент кафедры мировой и национальной экономики, к.э.н.</w:t>
      </w:r>
    </w:p>
    <w:p w:rsidR="00D03D59" w:rsidRPr="00D03D59" w:rsidRDefault="00D03D59" w:rsidP="00D03D5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</w:pPr>
      <w:r w:rsidRPr="00D03D59"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  <w:t>Дата публикации в интернет: 24.11.2016</w:t>
      </w:r>
    </w:p>
    <w:p w:rsidR="00AA059E" w:rsidRDefault="00D03D59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28"/>
    <w:rsid w:val="001A3864"/>
    <w:rsid w:val="00AA28F7"/>
    <w:rsid w:val="00B51E28"/>
    <w:rsid w:val="00D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5BA04-2213-42F8-ABDC-30EBAAE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D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8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0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98">
              <w:marLeft w:val="0"/>
              <w:marRight w:val="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7429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36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vavt.ru/k_wordec" TargetMode="External"/><Relationship Id="rId4" Type="http://schemas.openxmlformats.org/officeDocument/2006/relationships/hyperlink" Target="http://www.vavt.ru/prep/by_id/starost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2017-10-03T18:03:00Z</dcterms:created>
  <dcterms:modified xsi:type="dcterms:W3CDTF">2017-10-03T18:04:00Z</dcterms:modified>
</cp:coreProperties>
</file>