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9"/>
        <w:gridCol w:w="1898"/>
      </w:tblGrid>
      <w:tr w:rsidR="00DA1B20" w:rsidRPr="00DA1B20" w:rsidTr="00DA1B20">
        <w:tc>
          <w:tcPr>
            <w:tcW w:w="0" w:type="auto"/>
            <w:tcBorders>
              <w:top w:val="single" w:sz="6" w:space="0" w:color="CCCCCC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0"/>
              <w:gridCol w:w="5283"/>
            </w:tblGrid>
            <w:tr w:rsidR="00DA1B20" w:rsidRPr="00DA1B20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A1B20" w:rsidRPr="00DA1B20" w:rsidRDefault="00DA1B20" w:rsidP="00DA1B2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A1B20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Название: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A1B20" w:rsidRPr="00DA1B20" w:rsidRDefault="00DA1B20" w:rsidP="00DA1B2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A1B20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Эконометрика</w:t>
                  </w:r>
                </w:p>
              </w:tc>
            </w:tr>
            <w:tr w:rsidR="00DA1B20" w:rsidRPr="00DA1B20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A1B20" w:rsidRPr="00DA1B20" w:rsidRDefault="00DA1B20" w:rsidP="00DA1B2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A1B20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Авторы: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A1B20" w:rsidRPr="00DA1B20" w:rsidRDefault="00DA1B20" w:rsidP="00DA1B2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hyperlink r:id="rId4" w:history="1">
                    <w:r w:rsidRPr="00DA1B20">
                      <w:rPr>
                        <w:rFonts w:ascii="Arial" w:eastAsia="Times New Roman" w:hAnsi="Arial" w:cs="Arial"/>
                        <w:color w:val="777777"/>
                        <w:sz w:val="21"/>
                        <w:szCs w:val="21"/>
                        <w:u w:val="single"/>
                        <w:lang w:eastAsia="ru-RU"/>
                      </w:rPr>
                      <w:t>Артамонов Вячеслав Александрович</w:t>
                    </w:r>
                  </w:hyperlink>
                  <w:r w:rsidRPr="00DA1B20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>, </w:t>
                  </w:r>
                  <w:hyperlink r:id="rId5" w:history="1">
                    <w:r w:rsidRPr="00DA1B20">
                      <w:rPr>
                        <w:rFonts w:ascii="Arial" w:eastAsia="Times New Roman" w:hAnsi="Arial" w:cs="Arial"/>
                        <w:color w:val="777777"/>
                        <w:sz w:val="21"/>
                        <w:szCs w:val="21"/>
                        <w:u w:val="single"/>
                        <w:lang w:eastAsia="ru-RU"/>
                      </w:rPr>
                      <w:t>Криволапов Сергей Яковлевич</w:t>
                    </w:r>
                  </w:hyperlink>
                </w:p>
              </w:tc>
            </w:tr>
            <w:tr w:rsidR="00DA1B20" w:rsidRPr="00DA1B20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A1B20" w:rsidRPr="00DA1B20" w:rsidRDefault="00DA1B20" w:rsidP="00DA1B2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A1B20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Подразделение: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A1B20" w:rsidRPr="00DA1B20" w:rsidRDefault="00DA1B20" w:rsidP="00DA1B2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hyperlink r:id="rId6" w:history="1">
                    <w:r w:rsidRPr="00DA1B20">
                      <w:rPr>
                        <w:rFonts w:ascii="Arial" w:eastAsia="Times New Roman" w:hAnsi="Arial" w:cs="Arial"/>
                        <w:color w:val="777777"/>
                        <w:sz w:val="21"/>
                        <w:szCs w:val="21"/>
                        <w:u w:val="single"/>
                        <w:lang w:eastAsia="ru-RU"/>
                      </w:rPr>
                      <w:t>Кафедра информатики и математики</w:t>
                    </w:r>
                  </w:hyperlink>
                </w:p>
              </w:tc>
            </w:tr>
            <w:tr w:rsidR="00DA1B20" w:rsidRPr="00DA1B20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A1B20" w:rsidRPr="00DA1B20" w:rsidRDefault="00DA1B20" w:rsidP="00DA1B2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A1B20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Дата утверждения: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A1B20" w:rsidRPr="00DA1B20" w:rsidRDefault="00DA1B20" w:rsidP="00DA1B2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A1B20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>14.10.2016</w:t>
                  </w:r>
                </w:p>
              </w:tc>
            </w:tr>
            <w:tr w:rsidR="00DA1B20" w:rsidRPr="00DA1B20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A1B20" w:rsidRPr="00DA1B20" w:rsidRDefault="00DA1B20" w:rsidP="00DA1B2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A1B20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Издательство: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A1B20" w:rsidRPr="00DA1B20" w:rsidRDefault="00DA1B20" w:rsidP="00DA1B2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A1B20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>- М.: ВАВТ (www.vavt.ru)</w:t>
                  </w:r>
                </w:p>
              </w:tc>
            </w:tr>
            <w:tr w:rsidR="00DA1B20" w:rsidRPr="00DA1B20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A1B20" w:rsidRPr="00DA1B20" w:rsidRDefault="00DA1B20" w:rsidP="00DA1B2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A1B20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Категория учащихся: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A1B20" w:rsidRPr="00DA1B20" w:rsidRDefault="00DA1B20" w:rsidP="00DA1B20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DA1B20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 xml:space="preserve">3 курс |ФВМ </w:t>
                  </w:r>
                  <w:proofErr w:type="spellStart"/>
                  <w:r w:rsidRPr="00DA1B20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>Бакалавриат</w:t>
                  </w:r>
                  <w:proofErr w:type="spellEnd"/>
                  <w:r w:rsidRPr="00DA1B20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 xml:space="preserve"> |очная форма</w:t>
                  </w:r>
                </w:p>
              </w:tc>
            </w:tr>
          </w:tbl>
          <w:p w:rsidR="00DA1B20" w:rsidRPr="00DA1B20" w:rsidRDefault="00DA1B20" w:rsidP="00DA1B20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DA1B20" w:rsidRPr="00DA1B20" w:rsidRDefault="00DA1B20" w:rsidP="00DA1B20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DA1B20">
              <w:rPr>
                <w:rFonts w:ascii="Arial" w:eastAsia="Times New Roman" w:hAnsi="Arial" w:cs="Arial"/>
                <w:noProof/>
                <w:color w:val="4C5B6E"/>
                <w:sz w:val="21"/>
                <w:szCs w:val="21"/>
                <w:lang w:eastAsia="ru-RU"/>
              </w:rPr>
              <w:drawing>
                <wp:inline distT="0" distB="0" distL="0" distR="0">
                  <wp:extent cx="1200150" cy="1695450"/>
                  <wp:effectExtent l="0" t="0" r="0" b="0"/>
                  <wp:docPr id="1" name="Рисунок 1" descr="http://vavt.ru/papkavav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vavt.ru/papkavav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1B20" w:rsidRPr="00DA1B20" w:rsidRDefault="00DA1B20" w:rsidP="00DA1B20">
      <w:pPr>
        <w:shd w:val="clear" w:color="auto" w:fill="FFFFFF"/>
        <w:spacing w:after="60" w:line="240" w:lineRule="auto"/>
        <w:rPr>
          <w:rFonts w:ascii="Arial" w:eastAsia="Times New Roman" w:hAnsi="Arial" w:cs="Arial"/>
          <w:vanish/>
          <w:color w:val="4C5B6E"/>
          <w:sz w:val="21"/>
          <w:szCs w:val="21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0"/>
        <w:gridCol w:w="1650"/>
        <w:gridCol w:w="1275"/>
      </w:tblGrid>
      <w:tr w:rsidR="00DA1B20" w:rsidRPr="00DA1B20" w:rsidTr="00DA1B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1B20" w:rsidRPr="00DA1B20" w:rsidRDefault="00DA1B20" w:rsidP="00DA1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</w:pPr>
            <w:r w:rsidRPr="00DA1B20"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  <w:t>Название файла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1B20" w:rsidRPr="00DA1B20" w:rsidRDefault="00DA1B20" w:rsidP="00DA1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</w:pPr>
            <w:r w:rsidRPr="00DA1B20"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  <w:t>Объем (КБ)</w:t>
            </w:r>
          </w:p>
        </w:tc>
        <w:tc>
          <w:tcPr>
            <w:tcW w:w="12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1B20" w:rsidRPr="00DA1B20" w:rsidRDefault="00DA1B20" w:rsidP="00DA1B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</w:pPr>
            <w:r w:rsidRPr="00DA1B20"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  <w:t>Загрузка</w:t>
            </w:r>
          </w:p>
        </w:tc>
      </w:tr>
      <w:tr w:rsidR="00DA1B20" w:rsidRPr="00DA1B20" w:rsidTr="00DA1B20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1B20" w:rsidRPr="00DA1B20" w:rsidRDefault="00DA1B20" w:rsidP="00DA1B20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DA1B20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Эконометрика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1B20" w:rsidRPr="00DA1B20" w:rsidRDefault="00DA1B20" w:rsidP="00DA1B20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DA1B20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 xml:space="preserve">1924 </w:t>
            </w:r>
            <w:proofErr w:type="spellStart"/>
            <w:r w:rsidRPr="00DA1B20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kb</w:t>
            </w:r>
            <w:proofErr w:type="spellEnd"/>
          </w:p>
        </w:tc>
        <w:tc>
          <w:tcPr>
            <w:tcW w:w="12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1B20" w:rsidRPr="00DA1B20" w:rsidRDefault="00DA1B20" w:rsidP="00DA1B20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</w:p>
        </w:tc>
      </w:tr>
    </w:tbl>
    <w:p w:rsidR="00DA1B20" w:rsidRPr="00DA1B20" w:rsidRDefault="00DA1B20" w:rsidP="00DA1B2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C5B6E"/>
          <w:sz w:val="21"/>
          <w:szCs w:val="21"/>
          <w:lang w:eastAsia="ru-RU"/>
        </w:rPr>
      </w:pPr>
    </w:p>
    <w:p w:rsidR="00DA1B20" w:rsidRPr="00DA1B20" w:rsidRDefault="00DA1B20" w:rsidP="00DA1B2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</w:pPr>
      <w:r w:rsidRPr="00DA1B20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Аннотация</w:t>
      </w:r>
    </w:p>
    <w:p w:rsidR="00DA1B20" w:rsidRPr="00DA1B20" w:rsidRDefault="00DA1B20" w:rsidP="00DA1B20">
      <w:pPr>
        <w:shd w:val="clear" w:color="auto" w:fill="FFFFFF"/>
        <w:spacing w:after="75" w:line="240" w:lineRule="auto"/>
        <w:ind w:left="45"/>
        <w:rPr>
          <w:rFonts w:ascii="Arial" w:eastAsia="Times New Roman" w:hAnsi="Arial" w:cs="Arial"/>
          <w:color w:val="4C5B6E"/>
          <w:sz w:val="21"/>
          <w:szCs w:val="21"/>
          <w:lang w:eastAsia="ru-RU"/>
        </w:rPr>
      </w:pPr>
      <w:r w:rsidRPr="00DA1B20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1. Цель дисциплины: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Целью преподавания дисциплины «Эконометрика» является приобретение студен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softHyphen/>
        <w:t>тами необходимых теоретических и практических знаний в области современных эконометрических методов анализа и моделирования экономики.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В соответствии с назначением основными задачами курса являются: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1. Ознакомление студентов с проблемами, возникающими при практическом применении различных количественных моделей экономической теории, та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softHyphen/>
        <w:t>ких как модели спроса, производства, совокупного потребления, инвестиций и др.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2. Подготовка студентов к прикладным исследованиям в области экономики.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3. Освоение методов эконометрического анализа статистических данных.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4. Освоение методов построения и анализа эконометрических моделей.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5. Овладение навыками применения пакетов компьютерных программ эконо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softHyphen/>
        <w:t>метрического анализа статистических данных.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A1B20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2. Место дисциплины в структуре ООП: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Учебная дисциплина «Эконометрика» относится к профессиональному циклу Б.З ФГОС ВПО и рассчитана на один семестр. Для данного курса обязательно должны быть прослушаны дисциплины «Линейная алгебра», «Математический анализ», «Теория вероятностей и математическая статистика», «Экономическая теория», «Микроэкономика» и «Макроэкономика».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Материал курса может быть использован в других курсах, связанных с количе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softHyphen/>
        <w:t>ственным анализом реальных экономических явлений, при подготовке дипломных работ и магистерских диссертаций, использующих количественные методы анализа статистических данных и моделирование экономических процессов.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A1B20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3. Требования к результатам освоении дисциплины: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Процесс изучения дисциплины направлен на формирование и развитие компетенций: ОК-3, ОК-6, ОК-9, ОПК-6, ОПК-7, ПК-10, ПК-21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В результате изучения дисциплины студенты должны: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• Владеть системными знаниями математических методов в экономике.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• Владеть классическими приемами решения и исследования математически формализованных задач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• Владеть основным математическим понятийным аппаратом.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• Развивать логическое и алгоритмическое мышления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• Владеть логической культуры аргументации и доказательств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• Быть готовыми применять знания математических моделей в экономике для решения прикладных задач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• Уметь применять полученные знания для решения прикладных задач экономики и финансов.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° Выявлять и устранять пробелы в знаниях в стремлении к непрерывному самообучению и саморазвитию.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• Знать направления современных исследований в области эконометрики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• Уметь самостоятельно читать и анализировать литературу, как учебного, так и научного характера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A1B20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lastRenderedPageBreak/>
        <w:t>4. Общая трудоемкость дисциплины составляет 3 зачетные единицы (108 ча</w:t>
      </w:r>
      <w:r w:rsidRPr="00DA1B20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softHyphen/>
        <w:t>сов).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A1B20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5. Семестр: 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1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A1B20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6. Основные темы дисциплины: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1. Линейная модель регрессии. Условия Гаусса - Маркова.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 xml:space="preserve">2. Оценивание параметров линейной модели методом наименьших </w:t>
      </w:r>
      <w:proofErr w:type="spellStart"/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квадратров</w:t>
      </w:r>
      <w:proofErr w:type="spellEnd"/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3. Проверка гипотез относительно параметров модели и модели в целом.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 xml:space="preserve">4. Проблема </w:t>
      </w:r>
      <w:proofErr w:type="spellStart"/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мультиколлинеарности</w:t>
      </w:r>
      <w:proofErr w:type="spellEnd"/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t xml:space="preserve"> в линейной регрессии.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 xml:space="preserve">5. Проблема </w:t>
      </w:r>
      <w:proofErr w:type="spellStart"/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гетероскедастичности</w:t>
      </w:r>
      <w:proofErr w:type="spellEnd"/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t xml:space="preserve"> в линейной регрессии.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6. Проблемы спецификации линейной регрессии.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 xml:space="preserve">7. Линейная регрессия с </w:t>
      </w:r>
      <w:proofErr w:type="spellStart"/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автокоррелированной</w:t>
      </w:r>
      <w:proofErr w:type="spellEnd"/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t xml:space="preserve"> ошибкой.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8. Модели нелинейной регрессии.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9. Модели стационарных временных рядов.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10. Линейная регрессия для стационарных временных рядов.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11. Временные ряды, стационарные относительно тренда.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DA1B20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Авторы: 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Артамонов Никита Вячеславович, кандидат физико-математических наук, доцент кафедры информатики и математики ВАВТ.</w:t>
      </w:r>
      <w:r w:rsidRPr="00DA1B20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Криволапов Сергей Яковлевич, кандидат физико-математических наук, доцент кафедры информатики и математики ВАВТ.</w:t>
      </w:r>
    </w:p>
    <w:p w:rsidR="00DA1B20" w:rsidRPr="00DA1B20" w:rsidRDefault="00DA1B20" w:rsidP="00DA1B20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5C90D1"/>
          <w:sz w:val="21"/>
          <w:szCs w:val="21"/>
          <w:lang w:eastAsia="ru-RU"/>
        </w:rPr>
      </w:pPr>
      <w:r w:rsidRPr="00DA1B20">
        <w:rPr>
          <w:rFonts w:ascii="Arial" w:eastAsia="Times New Roman" w:hAnsi="Arial" w:cs="Arial"/>
          <w:b/>
          <w:bCs/>
          <w:color w:val="5C90D1"/>
          <w:sz w:val="21"/>
          <w:szCs w:val="21"/>
          <w:lang w:eastAsia="ru-RU"/>
        </w:rPr>
        <w:t>Дата публикации в интернет: 08.02.2017</w:t>
      </w:r>
    </w:p>
    <w:p w:rsidR="00AA059E" w:rsidRDefault="00DA1B20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C0"/>
    <w:rsid w:val="001A3864"/>
    <w:rsid w:val="009756C0"/>
    <w:rsid w:val="00AA28F7"/>
    <w:rsid w:val="00DA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7D866-9F1B-4DA5-A5FC-0112342D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1B2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14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317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833">
              <w:marLeft w:val="0"/>
              <w:marRight w:val="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31583">
          <w:marLeft w:val="0"/>
          <w:marRight w:val="0"/>
          <w:marTop w:val="22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472">
          <w:marLeft w:val="0"/>
          <w:marRight w:val="0"/>
          <w:marTop w:val="22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avt.ru/K_info" TargetMode="External"/><Relationship Id="rId5" Type="http://schemas.openxmlformats.org/officeDocument/2006/relationships/hyperlink" Target="http://www.vavt.ru/prep/by_id/krivolapov_sy" TargetMode="External"/><Relationship Id="rId4" Type="http://schemas.openxmlformats.org/officeDocument/2006/relationships/hyperlink" Target="http://www.vavt.ru/prep/by_id/artamonov_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2017-10-03T18:04:00Z</dcterms:created>
  <dcterms:modified xsi:type="dcterms:W3CDTF">2017-10-03T18:06:00Z</dcterms:modified>
</cp:coreProperties>
</file>