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Manutenção</w:t>
      </w:r>
      <w:r>
        <w:t xml:space="preserve"> </w:t>
      </w:r>
      <w:r>
        <w:t xml:space="preserve">sustentável</w:t>
      </w:r>
      <w:r>
        <w:t xml:space="preserve"> </w:t>
      </w:r>
      <w:r>
        <w:t xml:space="preserve">em</w:t>
      </w:r>
      <w:r>
        <w:t xml:space="preserve"> </w:t>
      </w:r>
      <w:r>
        <w:t xml:space="preserve">edificações</w:t>
      </w:r>
      <w:r>
        <w:t xml:space="preserve"> </w:t>
      </w:r>
      <w:r>
        <w:t xml:space="preserve">universitárias</w:t>
      </w:r>
      <w:r>
        <w:t xml:space="preserve"> </w:t>
      </w:r>
      <w:r>
        <w:t xml:space="preserve">públicas:</w:t>
      </w:r>
      <w:r>
        <w:t xml:space="preserve"> </w:t>
      </w:r>
      <w:r>
        <w:t xml:space="preserve">revisão</w:t>
      </w:r>
      <w:r>
        <w:t xml:space="preserve"> </w:t>
      </w:r>
      <w:r>
        <w:t xml:space="preserve">bibliométrica</w:t>
      </w:r>
      <w:r>
        <w:t xml:space="preserve"> </w:t>
      </w:r>
      <w:r>
        <w:t xml:space="preserve">e</w:t>
      </w:r>
      <w:r>
        <w:t xml:space="preserve"> </w:t>
      </w:r>
      <w:r>
        <w:t xml:space="preserve">protocolo</w:t>
      </w:r>
      <w:r>
        <w:t xml:space="preserve"> </w:t>
      </w:r>
      <w:r>
        <w:t xml:space="preserve">multicritério</w:t>
      </w:r>
    </w:p>
    <w:p>
      <w:pPr>
        <w:pStyle w:val="Author"/>
      </w:pPr>
      <w:r>
        <w:t xml:space="preserve">Adinailson</w:t>
      </w:r>
      <w:r>
        <w:t xml:space="preserve"> </w:t>
      </w:r>
      <w:r>
        <w:t xml:space="preserve">Guimarães</w:t>
      </w:r>
      <w:r>
        <w:t xml:space="preserve"> </w:t>
      </w:r>
      <w:r>
        <w:t xml:space="preserve">de</w:t>
      </w:r>
      <w:r>
        <w:t xml:space="preserve"> </w:t>
      </w:r>
      <w:r>
        <w:t xml:space="preserve">Oliveira</w:t>
      </w:r>
      <w:r>
        <w:br/>
      </w:r>
      <w:r>
        <w:t xml:space="preserve">Programa</w:t>
      </w:r>
      <w:r>
        <w:t xml:space="preserve"> </w:t>
      </w:r>
      <w:r>
        <w:t xml:space="preserve">de</w:t>
      </w:r>
      <w:r>
        <w:t xml:space="preserve"> </w:t>
      </w:r>
      <w:r>
        <w:t xml:space="preserve">Pós-Graduação</w:t>
      </w:r>
      <w:r>
        <w:t xml:space="preserve"> </w:t>
      </w:r>
      <w:r>
        <w:t xml:space="preserve">em</w:t>
      </w:r>
      <w:r>
        <w:t xml:space="preserve"> </w:t>
      </w:r>
      <w:r>
        <w:t xml:space="preserve">Biossistemas</w:t>
      </w:r>
      <w:r>
        <w:br/>
      </w:r>
      <w:r>
        <w:t xml:space="preserve">Universidade</w:t>
      </w:r>
      <w:r>
        <w:t xml:space="preserve"> </w:t>
      </w:r>
      <w:r>
        <w:t xml:space="preserve">Federal</w:t>
      </w:r>
      <w:r>
        <w:t xml:space="preserve"> </w:t>
      </w:r>
      <w:r>
        <w:t xml:space="preserve">do</w:t>
      </w:r>
      <w:r>
        <w:t xml:space="preserve"> </w:t>
      </w:r>
      <w:r>
        <w:t xml:space="preserve">Sul</w:t>
      </w:r>
      <w:r>
        <w:t xml:space="preserve"> </w:t>
      </w:r>
      <w:r>
        <w:t xml:space="preserve">da</w:t>
      </w:r>
      <w:r>
        <w:t xml:space="preserve"> </w:t>
      </w:r>
      <w:r>
        <w:t xml:space="preserve">Bahia</w:t>
      </w:r>
      <w:r>
        <w:t xml:space="preserve"> </w:t>
      </w:r>
      <w:r>
        <w:t xml:space="preserve">(UFSB)</w:t>
      </w:r>
    </w:p>
    <w:p>
      <w:pPr>
        <w:pStyle w:val="FirstParagraph"/>
      </w:pPr>
      <w:r>
        <w:rPr>
          <w:bCs/>
          <w:b/>
        </w:rPr>
        <w:t xml:space="preserve">Resumo</w:t>
      </w:r>
    </w:p>
    <w:p>
      <w:pPr>
        <w:pStyle w:val="BodyText"/>
      </w:pPr>
      <w:r>
        <w:t xml:space="preserve">O artigo investiga como evidências bibliométricas e temáticas sobre manutenção predial sustentável podem fundamentar um protocolo multicritério adaptável às edificações públicas universitárias. Realizou-se revisão integrativa sistematizada em Scopus, Web of Science e Crossref, entre 2010 e 2026. A busca principal recuperou 12.118 ocorrências; após deduplicação e triagem, 372 registros sustentaram o mapeamento bibliométrico e 104 compuseram o núcleo temático original. Uma busca complementar de sensibilidade para inteligência artificial e aprendizado de máquina recuperou 6.728 ocorrências e incorporou 17 registros, elevando o núcleo vigente para 121, sem alterar a camada bibliométrica da busca principal. Predominaram as dimensões técnica-operacional (116 registros), institucional (97) e ambiental (92), e os critérios desempenho operacional (99), informação e dados (82), custo (63), energia e vida útil (44 cada). Aprendizado de máquina passou de nove para 26 registros após a sensibilidade. Entre os 17 incorporados, dez tratam predominantemente de previsão ou previsão com otimização, dois de diagnóstico e classificação e cinco de síntese ou integração tecnológica. Nenhum demonstrou a cadeia completa entre modelo treinado, validação externa, ponderação multicritério, regras de veto e decisão pública auditável. Como contribuição, a síntese foi convertida em matriz analítica conceitual e protocolo operacional candidato, com indicadores, fontes, periodicidade, direção de preferência e vetos. Frequências documentais não foram transformadas em pesos; ponderação, limiares e agregação dependem de validação institucional e teste multicampi.</w:t>
      </w:r>
    </w:p>
    <w:p>
      <w:pPr>
        <w:pStyle w:val="BodyText"/>
      </w:pPr>
      <w:r>
        <w:rPr>
          <w:bCs/>
          <w:b/>
        </w:rPr>
        <w:t xml:space="preserve">Palavras-chave:</w:t>
      </w:r>
      <w:r>
        <w:t xml:space="preserve"> </w:t>
      </w:r>
      <w:r>
        <w:t xml:space="preserve">manutenção predial; sustentabilidade; decisão multicritério; edificações públicas universitárias; aprendizado de máquina.</w:t>
      </w:r>
    </w:p>
    <w:p>
      <w:pPr>
        <w:pStyle w:val="BodyText"/>
      </w:pPr>
      <w:r>
        <w:rPr>
          <w:bCs/>
          <w:b/>
        </w:rPr>
        <w:t xml:space="preserve">Abstract</w:t>
      </w:r>
    </w:p>
    <w:p>
      <w:pPr>
        <w:pStyle w:val="BodyText"/>
      </w:pPr>
      <w:r>
        <w:t xml:space="preserve">This article investigates how bibliometric and thematic evidence on sustainable building maintenance can support a multi-criteria protocol adaptable to public university buildings. A systematized integrative review was conducted in Scopus, Web of Science, and Crossref for 2010–2026. The main search retrieved 12,118 occurrences; after deduplication and screening, 372 records supported bibliometric mapping and 104 formed the original thematic core. A complementary sensitivity search for artificial intelligence and machine learning retrieved 6,728 occurrences and incorporated 17 records, expanding the current core to 121 without changing the bibliometric layer derived from the main search. The technical-operational (116 records), institutional (97), and environmental (92) dimensions predominated, as did operational performance (99), information and data (82), cost (63), energy, and service life (44 each). Machine learning increased from nine to 26 records after the sensitivity search. Among the 17 incorporated records, ten predominantly address prediction or prediction with optimization, two address diagnosis and classification, and five address technological synthesis or integration. None demonstrated the complete chain linking a trained model, external validation, multi-criteria weighting, veto rules, and auditable public decision-making. The synthesis was translated into a conceptual analytical matrix and a candidate operational protocol specifying indicators, data sources, periodicity, preference direction, and vetoes. Documentary frequencies were not converted into weights; weighting, thresholds, and aggregation require institutional validation and multi-campus testing.</w:t>
      </w:r>
    </w:p>
    <w:p>
      <w:pPr>
        <w:pStyle w:val="BodyText"/>
      </w:pPr>
      <w:r>
        <w:rPr>
          <w:bCs/>
          <w:b/>
        </w:rPr>
        <w:t xml:space="preserve">Keywords:</w:t>
      </w:r>
      <w:r>
        <w:t xml:space="preserve"> </w:t>
      </w:r>
      <w:r>
        <w:t xml:space="preserve">building maintenance; sustainability; multi-criteria decision-making; public university buildings; machine learning.</w:t>
      </w:r>
    </w:p>
    <w:bookmarkStart w:id="20" w:name="sec:introducao"/>
    <w:p>
      <w:pPr>
        <w:pStyle w:val="Heading1"/>
      </w:pPr>
      <w:r>
        <w:t xml:space="preserve">Introdução</w:t>
      </w:r>
    </w:p>
    <w:p>
      <w:pPr>
        <w:pStyle w:val="FirstParagraph"/>
      </w:pPr>
      <w:r>
        <w:t xml:space="preserve">A gestão de edificações públicas universitárias enfrenta uma tensão decisória recorrente: as intervenções mais visíveis ou urgentes competem por recursos com ações preventivas, ambientais, sociais e institucionais cujos benefícios se distribuem ao longo do ciclo de vida. A ausência de uma arquitetura transparente de critérios pode favorecer decisões reativas e dificultar a justificativa técnica, orçamentária e pública da prioridade atribuída a cada ativo, como indicam estudos de caso em instituições universitárias</w:t>
      </w:r>
      <w:r>
        <w:t xml:space="preserve"> </w:t>
      </w:r>
      <w:r>
        <w:t xml:space="preserve">(Lateef, Khamidi, and Idrus 2010; Barbosa et al. 2020)</w:t>
      </w:r>
      <w:r>
        <w:t xml:space="preserve">. A manutenção predial condiciona desempenho, segurança, durabilidade e continuidade dos serviços, e a NBR 5674 estabelece requisitos de planejamento, controle e avaliação do sistema de manutenção</w:t>
      </w:r>
      <w:r>
        <w:t xml:space="preserve"> </w:t>
      </w:r>
      <w:r>
        <w:t xml:space="preserve">(Associação Brasileira de Normas Técnicas 2012)</w:t>
      </w:r>
      <w:r>
        <w:t xml:space="preserve">. No âmbito público brasileiro, essa responsabilidade também se vincula a deveres legais e administrativos do gestor</w:t>
      </w:r>
      <w:r>
        <w:t xml:space="preserve"> </w:t>
      </w:r>
      <w:r>
        <w:t xml:space="preserve">(Araújo Neto 2015)</w:t>
      </w:r>
      <w:r>
        <w:t xml:space="preserve">.</w:t>
      </w:r>
    </w:p>
    <w:p>
      <w:pPr>
        <w:pStyle w:val="BodyText"/>
      </w:pPr>
      <w:r>
        <w:t xml:space="preserve">Restrições orçamentárias, envelhecimento da infraestrutura e acúmulo de demandas tornam insuficiente uma ordenação baseada em custo ou urgência isolados. A análise de custos em universidade federal demonstra a utilidade de modelos de previsão para o planejamento orçamentário</w:t>
      </w:r>
      <w:r>
        <w:t xml:space="preserve"> </w:t>
      </w:r>
      <w:r>
        <w:t xml:space="preserve">(Martins and Espejo 2024)</w:t>
      </w:r>
      <w:r>
        <w:t xml:space="preserve">, enquanto registros de ordens de serviço permitem reconhecer padrões de demanda e apoiar o planejamento de intervenções</w:t>
      </w:r>
      <w:r>
        <w:t xml:space="preserve"> </w:t>
      </w:r>
      <w:r>
        <w:t xml:space="preserve">(Morais, Paula, and Reis 2023)</w:t>
      </w:r>
      <w:r>
        <w:t xml:space="preserve">. Para sustentar a prioridade, séries de custos e ordens de serviço precisam ser combinadas a condição física, risco, energia, impacto ambiental, experiência dos usuários, conformidade e capacidade institucional</w:t>
      </w:r>
      <w:r>
        <w:t xml:space="preserve"> </w:t>
      </w:r>
      <w:r>
        <w:t xml:space="preserve">(Maia, Scheer, and Freitas 2016; Nägeli et al. 2019; Alfalah et al. 2022)</w:t>
      </w:r>
      <w:r>
        <w:t xml:space="preserve">.</w:t>
      </w:r>
    </w:p>
    <w:p>
      <w:pPr>
        <w:pStyle w:val="BodyText"/>
      </w:pPr>
      <w:r>
        <w:t xml:space="preserve">O</w:t>
      </w:r>
      <w:r>
        <w:t xml:space="preserve"> </w:t>
      </w:r>
      <w:r>
        <w:rPr>
          <w:iCs/>
          <w:i/>
        </w:rPr>
        <w:t xml:space="preserve">facility management</w:t>
      </w:r>
      <w:r>
        <w:t xml:space="preserve"> </w:t>
      </w:r>
      <w:r>
        <w:t xml:space="preserve">sustentável articula desempenho ambiental, econômico e social com planejamento, operação e gestão dos ativos construídos</w:t>
      </w:r>
      <w:r>
        <w:t xml:space="preserve"> </w:t>
      </w:r>
      <w:r>
        <w:t xml:space="preserve">(Nielsen, Sarasoja, and Galamba 2016; Opoku and Lee 2022; Okoro 2023)</w:t>
      </w:r>
      <w:r>
        <w:t xml:space="preserve">. Os Objetivos de Desenvolvimento Sustentável oferecem metas públicas para infraestrutura, cidades e uso responsável de recursos, enquanto a abordagem ambiental, social e de governança (ESG, do inglês</w:t>
      </w:r>
      <w:r>
        <w:t xml:space="preserve"> </w:t>
      </w:r>
      <w:r>
        <w:rPr>
          <w:iCs/>
          <w:i/>
        </w:rPr>
        <w:t xml:space="preserve">environmental, social and governance</w:t>
      </w:r>
      <w:r>
        <w:t xml:space="preserve">) organiza indicadores aplicáveis aos ativos e serviços prediais</w:t>
      </w:r>
      <w:r>
        <w:t xml:space="preserve"> </w:t>
      </w:r>
      <w:r>
        <w:t xml:space="preserve">(Okoro 2023; Ramantswana et al. 2026)</w:t>
      </w:r>
      <w:r>
        <w:t xml:space="preserve">. Métodos de apoio multicritério podem explicitar compensações entre esses objetivos, desde que critérios, indicadores, pesos, regras não compensatórias e incertezas sejam documentados</w:t>
      </w:r>
      <w:r>
        <w:t xml:space="preserve"> </w:t>
      </w:r>
      <w:r>
        <w:t xml:space="preserve">(Alfalah et al. 2022; Naji, Gunduz, and Maki 2023; Masmoudi et al. 2026)</w:t>
      </w:r>
      <w:r>
        <w:t xml:space="preserve">.</w:t>
      </w:r>
    </w:p>
    <w:p>
      <w:pPr>
        <w:pStyle w:val="BodyText"/>
      </w:pPr>
      <w:r>
        <w:t xml:space="preserve">Apesar dessa convergência potencial, estudos sobre digitalização e métodos decisórios ainda documentam separadamente integração de dados, previsão operacional, critérios de sustentabilidade e escolha multicritério, sem demonstrar de modo recorrente a cadeia completa até a decisão institucional</w:t>
      </w:r>
      <w:r>
        <w:t xml:space="preserve"> </w:t>
      </w:r>
      <w:r>
        <w:t xml:space="preserve">(Deng, Menassa, and Kamat 2021; Das 2025; Alfalah et al. 2022; Masmoudi et al. 2026)</w:t>
      </w:r>
      <w:r>
        <w:t xml:space="preserve">. A lacuna abordada neste artigo é a conexão rastreável entre evidência científica, variável observável e regra pública de decisão, sem confundir frequência bibliográfica com importância normativa.</w:t>
      </w:r>
    </w:p>
    <w:p>
      <w:pPr>
        <w:pStyle w:val="BodyText"/>
      </w:pPr>
      <w:r>
        <w:t xml:space="preserve">O objetivo geral é analisar a estrutura bibliométrica e temática da literatura e, a partir dela, propor a arquitetura de um protocolo multicritério adaptável à priorização de intervenções em edificações públicas universitárias. A pergunta central (RQ0) é: como os padrões bibliométricos e a síntese temática da literatura podem fundamentar a arquitetura de critérios, indicadores e regras de decisão de um protocolo multicritério adaptável às edificações públicas universitárias?</w:t>
      </w:r>
    </w:p>
    <w:p>
      <w:pPr>
        <w:pStyle w:val="BodyText"/>
      </w:pPr>
      <w:r>
        <w:t xml:space="preserve">A análise foi orientada originalmente por cinco questões específicas: quais dimensões de sustentabilidade são identificadas (RQ1); quais critérios de priorização são identificados (RQ2); quais métodos de apoio à decisão são identificados (RQ3); em quais contextos de edificação essas abordagens aparecem (RQ4); e quais lacunas são registradas para instituições públicas de ensino superior (RQ5). Como verificação complementar, formulou-se a RQ6: em que medida uma busca de sensibilidade dedicada à inteligência artificial (IA) e ao aprendizado de máquina altera a identificação de métodos informacionais e preditivos aplicados à manutenção e à gestão de edificações? A RQ6 não redefine retrospectivamente a busca principal; ela testa uma possível insuficiência de cobertura temática identificada após a síntese inicial.</w:t>
      </w:r>
    </w:p>
    <w:p>
      <w:pPr>
        <w:pStyle w:val="BodyText"/>
      </w:pPr>
      <w:r>
        <w:t xml:space="preserve">A contribuição pretendida é tripla: separar o mapeamento estrutural do campo da síntese temática; testar a cobertura de métodos informacionais por uma busca de sensibilidade explicitamente delimitada; e traduzir os achados em especificação operacional cuja validade permaneça condicionada à participação institucional e ao teste empírico.</w:t>
      </w:r>
    </w:p>
    <w:bookmarkEnd w:id="20"/>
    <w:bookmarkStart w:id="21" w:name="sec:revisao"/>
    <w:p>
      <w:pPr>
        <w:pStyle w:val="Heading1"/>
      </w:pPr>
      <w:r>
        <w:t xml:space="preserve">Fundamentos teóricos da manutenção sustentável</w:t>
      </w:r>
    </w:p>
    <w:p>
      <w:pPr>
        <w:pStyle w:val="FirstParagraph"/>
      </w:pPr>
      <w:r>
        <w:t xml:space="preserve">A literatura analisada pode ser organizada em cinco correntes complementares, abrangendo ciclo de vida, gestão sustentável de facilidades, efeitos sobre usuários, integração digital e apoio multicritério</w:t>
      </w:r>
      <w:r>
        <w:t xml:space="preserve"> </w:t>
      </w:r>
      <w:r>
        <w:t xml:space="preserve">(Nägeli et al. 2019; Nielsen, Sarasoja, and Galamba 2016; Alfalah et al. 2022; Deng, Menassa, and Kamat 2021; Masmoudi et al. 2026)</w:t>
      </w:r>
      <w:r>
        <w:t xml:space="preserve">. Essa organização não substitui a classificação empírica do corpus; ela explicita os fundamentos usados para converter a síntese em arquitetura decisória. A Tabela </w:t>
      </w:r>
      <w:hyperlink w:anchor="tab:correntesteoricas">
        <w:r>
          <w:rPr>
            <w:rStyle w:val="Hyperlink"/>
          </w:rPr>
          <w:t xml:space="preserve">1</w:t>
        </w:r>
      </w:hyperlink>
      <w:r>
        <w:t xml:space="preserve"> </w:t>
      </w:r>
      <w:r>
        <w:t xml:space="preserve">apresenta o núcleo de cada corrente, sua contribuição ao protocolo e a principal lacuna de integração.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Corrente</w:t>
            </w:r>
          </w:p>
        </w:tc>
        <w:tc>
          <w:tcPr>
            <w:tcW w:type="dxa" w:w="2340"/>
          </w:tcPr>
          <w:p>
            <w:r>
              <w:rPr>
                <w:b/>
                <w:sz w:val="18"/>
              </w:rPr>
              <w:t>Núcleo analítico</w:t>
            </w:r>
          </w:p>
        </w:tc>
        <w:tc>
          <w:tcPr>
            <w:tcW w:type="dxa" w:w="2340"/>
          </w:tcPr>
          <w:p>
            <w:r>
              <w:rPr>
                <w:b/>
                <w:sz w:val="18"/>
              </w:rPr>
              <w:t>Contribuição ao protocolo</w:t>
            </w:r>
          </w:p>
        </w:tc>
        <w:tc>
          <w:tcPr>
            <w:tcW w:type="dxa" w:w="2340"/>
          </w:tcPr>
          <w:p>
            <w:r>
              <w:rPr>
                <w:b/>
                <w:sz w:val="18"/>
              </w:rPr>
              <w:t>Lacuna de integração</w:t>
            </w:r>
          </w:p>
        </w:tc>
      </w:tr>
      <w:tr>
        <w:tc>
          <w:tcPr>
            <w:tcW w:type="dxa" w:w="2340"/>
          </w:tcPr>
          <w:p>
            <w:r>
              <w:rPr>
                <w:sz w:val="18"/>
              </w:rPr>
              <w:t>Técnica-operacional</w:t>
            </w:r>
          </w:p>
        </w:tc>
        <w:tc>
          <w:tcPr>
            <w:tcW w:type="dxa" w:w="2340"/>
          </w:tcPr>
          <w:p>
            <w:r>
              <w:rPr>
                <w:sz w:val="18"/>
              </w:rPr>
              <w:t>Condição, falha, desempenho, risco, manutenibilidade e continuidade.</w:t>
            </w:r>
          </w:p>
        </w:tc>
        <w:tc>
          <w:tcPr>
            <w:tcW w:type="dxa" w:w="2340"/>
          </w:tcPr>
          <w:p>
            <w:r>
              <w:rPr>
                <w:sz w:val="18"/>
              </w:rPr>
              <w:t>Indicadores de estado do ativo, recorrência de falhas e criticidade operacional.</w:t>
            </w:r>
          </w:p>
        </w:tc>
        <w:tc>
          <w:tcPr>
            <w:tcW w:type="dxa" w:w="2340"/>
          </w:tcPr>
          <w:p>
            <w:r>
              <w:rPr>
                <w:sz w:val="18"/>
              </w:rPr>
              <w:t>Predomínio de aplicações setoriais ou de componentes.</w:t>
            </w:r>
          </w:p>
        </w:tc>
      </w:tr>
      <w:tr>
        <w:tc>
          <w:tcPr>
            <w:tcW w:type="dxa" w:w="2340"/>
          </w:tcPr>
          <w:p>
            <w:r>
              <w:rPr>
                <w:sz w:val="18"/>
              </w:rPr>
              <w:t>Ambiental e ciclo de vida</w:t>
            </w:r>
          </w:p>
        </w:tc>
        <w:tc>
          <w:tcPr>
            <w:tcW w:type="dxa" w:w="2340"/>
          </w:tcPr>
          <w:p>
            <w:r>
              <w:rPr>
                <w:sz w:val="18"/>
              </w:rPr>
              <w:t>Energia, emissões, água, resíduos, renovação e custo ao longo da vida útil.</w:t>
            </w:r>
          </w:p>
        </w:tc>
        <w:tc>
          <w:tcPr>
            <w:tcW w:type="dxa" w:w="2340"/>
          </w:tcPr>
          <w:p>
            <w:r>
              <w:rPr>
                <w:sz w:val="18"/>
              </w:rPr>
              <w:t>Internalização de efeitos diferidos e prevenção de dupla contagem temporal.</w:t>
            </w:r>
          </w:p>
        </w:tc>
        <w:tc>
          <w:tcPr>
            <w:tcW w:type="dxa" w:w="2340"/>
          </w:tcPr>
          <w:p>
            <w:r>
              <w:rPr>
                <w:sz w:val="18"/>
              </w:rPr>
              <w:t>Integração desigual com rotinas reais de manutenção.</w:t>
            </w:r>
          </w:p>
        </w:tc>
      </w:tr>
      <w:tr>
        <w:tc>
          <w:tcPr>
            <w:tcW w:type="dxa" w:w="2340"/>
          </w:tcPr>
          <w:p>
            <w:r>
              <w:rPr>
                <w:sz w:val="18"/>
              </w:rPr>
              <w:t>Social e ocupacional</w:t>
            </w:r>
          </w:p>
        </w:tc>
        <w:tc>
          <w:tcPr>
            <w:tcW w:type="dxa" w:w="2340"/>
          </w:tcPr>
          <w:p>
            <w:r>
              <w:rPr>
                <w:sz w:val="18"/>
              </w:rPr>
              <w:t>Segurança, conforto, satisfação, acessibilidade e qualidade percebida.</w:t>
            </w:r>
          </w:p>
        </w:tc>
        <w:tc>
          <w:tcPr>
            <w:tcW w:type="dxa" w:w="2340"/>
          </w:tcPr>
          <w:p>
            <w:r>
              <w:rPr>
                <w:sz w:val="18"/>
              </w:rPr>
              <w:t>Critérios sobre usuários e continuidade das atividades acadêmicas.</w:t>
            </w:r>
          </w:p>
        </w:tc>
        <w:tc>
          <w:tcPr>
            <w:tcW w:type="dxa" w:w="2340"/>
          </w:tcPr>
          <w:p>
            <w:r>
              <w:rPr>
                <w:sz w:val="18"/>
              </w:rPr>
              <w:t>Menor frequência e operacionalização que os critérios técnicos.</w:t>
            </w:r>
          </w:p>
        </w:tc>
      </w:tr>
      <w:tr>
        <w:tc>
          <w:tcPr>
            <w:tcW w:type="dxa" w:w="2340"/>
          </w:tcPr>
          <w:p>
            <w:r>
              <w:rPr>
                <w:sz w:val="18"/>
              </w:rPr>
              <w:t>Informacional e digital</w:t>
            </w:r>
          </w:p>
        </w:tc>
        <w:tc>
          <w:tcPr>
            <w:tcW w:type="dxa" w:w="2340"/>
          </w:tcPr>
          <w:p>
            <w:r>
              <w:rPr>
                <w:sz w:val="18"/>
              </w:rPr>
              <w:t>BIM, digital twin, sensores, ontologias, IA e manutenção preditiva.</w:t>
            </w:r>
          </w:p>
        </w:tc>
        <w:tc>
          <w:tcPr>
            <w:tcW w:type="dxa" w:w="2340"/>
          </w:tcPr>
          <w:p>
            <w:r>
              <w:rPr>
                <w:sz w:val="18"/>
              </w:rPr>
              <w:t>Rastreabilidade, integração de dados, diagnóstico e atualização progressiva dos indicadores.</w:t>
            </w:r>
          </w:p>
        </w:tc>
        <w:tc>
          <w:tcPr>
            <w:tcW w:type="dxa" w:w="2340"/>
          </w:tcPr>
          <w:p>
            <w:r>
              <w:rPr>
                <w:sz w:val="18"/>
              </w:rPr>
              <w:t>Validação externa, interoperabilidade e governança ainda heterogêneas.</w:t>
            </w:r>
          </w:p>
        </w:tc>
      </w:tr>
      <w:tr>
        <w:tc>
          <w:tcPr>
            <w:tcW w:type="dxa" w:w="2340"/>
          </w:tcPr>
          <w:p>
            <w:r>
              <w:rPr>
                <w:sz w:val="18"/>
              </w:rPr>
              <w:t>Integração multicritério</w:t>
            </w:r>
          </w:p>
        </w:tc>
        <w:tc>
          <w:tcPr>
            <w:tcW w:type="dxa" w:w="2340"/>
          </w:tcPr>
          <w:p>
            <w:r>
              <w:rPr>
                <w:sz w:val="18"/>
              </w:rPr>
              <w:t>AHP, TOPSIS, ANP, Delphi, lógica fuzzy, otimização e pontuação.</w:t>
            </w:r>
          </w:p>
        </w:tc>
        <w:tc>
          <w:tcPr>
            <w:tcW w:type="dxa" w:w="2340"/>
          </w:tcPr>
          <w:p>
            <w:r>
              <w:rPr>
                <w:sz w:val="18"/>
              </w:rPr>
              <w:t>Estruturação, ponderação, comparação, sensibilidade e registro das escolhas.</w:t>
            </w:r>
          </w:p>
        </w:tc>
        <w:tc>
          <w:tcPr>
            <w:tcW w:type="dxa" w:w="2340"/>
          </w:tcPr>
          <w:p>
            <w:r>
              <w:rPr>
                <w:sz w:val="18"/>
              </w:rPr>
              <w:t>Poucas aplicações documentam a cadeia completa até a decisão institucional.</w:t>
            </w:r>
          </w:p>
        </w:tc>
      </w:tr>
    </w:tbl>
    <w:p/>
    <w:p>
      <w:pPr>
        <w:pStyle w:val="BodyText"/>
      </w:pPr>
      <w:r>
        <w:t xml:space="preserve">A corrente técnica-operacional parte da manutenção como função do ciclo de vida, da confiabilidade e do desempenho do ativo</w:t>
      </w:r>
      <w:r>
        <w:t xml:space="preserve"> </w:t>
      </w:r>
      <w:r>
        <w:t xml:space="preserve">(Nägeli et al. 2019; Othman and Kamal 2023)</w:t>
      </w:r>
      <w:r>
        <w:t xml:space="preserve">. Planejar conjuntamente manutenção e renovação permite coordenar condição física, consumo de energia e restrições orçamentárias</w:t>
      </w:r>
      <w:r>
        <w:t xml:space="preserve"> </w:t>
      </w:r>
      <w:r>
        <w:t xml:space="preserve">(Nägeli et al. 2019)</w:t>
      </w:r>
      <w:r>
        <w:t xml:space="preserve">. Estudos de manutenibilidade mostram ainda que decisões tomadas no projeto influenciam acesso, segurança e custo de intervenções futuras</w:t>
      </w:r>
      <w:r>
        <w:t xml:space="preserve"> </w:t>
      </w:r>
      <w:r>
        <w:t xml:space="preserve">(Othman and Kamal 2023; Chew and Conejos 2016; Conejos, Chew, and Azril 2019)</w:t>
      </w:r>
      <w:r>
        <w:t xml:space="preserve">. No protocolo, essa corrente sustenta critérios como desempenho, risco, condição física, vida útil e qualidade do serviço.</w:t>
      </w:r>
    </w:p>
    <w:p>
      <w:pPr>
        <w:pStyle w:val="BodyText"/>
      </w:pPr>
      <w:r>
        <w:t xml:space="preserve">A corrente ambiental e de ciclo de vida amplia a decisão para energia, emissões, água, resíduos e efeitos intertemporais</w:t>
      </w:r>
      <w:r>
        <w:t xml:space="preserve"> </w:t>
      </w:r>
      <w:r>
        <w:t xml:space="preserve">(Nielsen, Sarasoja, and Galamba 2016; Opoku and Lee 2022; Okoro 2023)</w:t>
      </w:r>
      <w:r>
        <w:t xml:space="preserve">. A gestão de facilidades sustentável conecta esses impactos aos níveis estratégico, tático e operacional</w:t>
      </w:r>
      <w:r>
        <w:t xml:space="preserve"> </w:t>
      </w:r>
      <w:r>
        <w:t xml:space="preserve">(Nielsen, Sarasoja, and Galamba 2016; Opoku and Lee 2022; Okoro 2023)</w:t>
      </w:r>
      <w:r>
        <w:t xml:space="preserve">. No protocolo proposto, o ciclo de vida opera como eixo transversal para integrar custos, riscos e impactos futuros sem converter a mesma consequência temporal em critérios redundantes, opção analítica apoiada pela abordagem conjunta de manutenção, renovação e energia</w:t>
      </w:r>
      <w:r>
        <w:t xml:space="preserve"> </w:t>
      </w:r>
      <w:r>
        <w:t xml:space="preserve">(Nägeli et al. 2019)</w:t>
      </w:r>
      <w:r>
        <w:t xml:space="preserve">.</w:t>
      </w:r>
    </w:p>
    <w:p>
      <w:pPr>
        <w:pStyle w:val="BodyText"/>
      </w:pPr>
      <w:r>
        <w:t xml:space="preserve">A corrente social e ocupacional desloca parte da avaliação do ativo para as pessoas que utilizam e operam a edificação</w:t>
      </w:r>
      <w:r>
        <w:t xml:space="preserve"> </w:t>
      </w:r>
      <w:r>
        <w:t xml:space="preserve">(Alfalah et al. 2022; Nielsen, Sarasoja, and Galamba 2016)</w:t>
      </w:r>
      <w:r>
        <w:t xml:space="preserve">. Segurança, conforto, satisfação, acessibilidade e continuidade das atividades acadêmicas são efeitos considerados em abordagens sustentáveis de gestão de facilidades e avaliação de edifícios educacionais</w:t>
      </w:r>
      <w:r>
        <w:t xml:space="preserve"> </w:t>
      </w:r>
      <w:r>
        <w:t xml:space="preserve">(Nielsen, Sarasoja, and Galamba 2016; Alfalah et al. 2022)</w:t>
      </w:r>
      <w:r>
        <w:t xml:space="preserve">. Em edifícios educacionais, estruturas de avaliação combinam desempenho técnico, energia e percepção dos usuários</w:t>
      </w:r>
      <w:r>
        <w:t xml:space="preserve"> </w:t>
      </w:r>
      <w:r>
        <w:t xml:space="preserve">(Alfalah et al. 2022)</w:t>
      </w:r>
      <w:r>
        <w:t xml:space="preserve">. Essa corrente evita que uma classificação tecnicamente eficiente seja socialmente inadequada.</w:t>
      </w:r>
    </w:p>
    <w:p>
      <w:pPr>
        <w:pStyle w:val="BodyText"/>
      </w:pPr>
      <w:r>
        <w:t xml:space="preserve">A corrente informacional e digital abrange modelagem da informação da construção,</w:t>
      </w:r>
      <w:r>
        <w:t xml:space="preserve"> </w:t>
      </w:r>
      <w:r>
        <w:rPr>
          <w:iCs/>
          <w:i/>
        </w:rPr>
        <w:t xml:space="preserve">digital twins</w:t>
      </w:r>
      <w:r>
        <w:t xml:space="preserve">, sensores, ontologias, inteligência artificial e manutenção preditiva</w:t>
      </w:r>
      <w:r>
        <w:t xml:space="preserve"> </w:t>
      </w:r>
      <w:r>
        <w:t xml:space="preserve">(Deng, Menassa, and Kamat 2021; Espinosa Gispert et al. 2025; Goretti and Kaming 2023; Das 2025)</w:t>
      </w:r>
      <w:r>
        <w:t xml:space="preserve">. Essas tecnologias podem conectar cadastro, condição, operação e histórico de intervenções por meio de modelos de informação, ontologias, sensores e plataformas integradas</w:t>
      </w:r>
      <w:r>
        <w:t xml:space="preserve"> </w:t>
      </w:r>
      <w:r>
        <w:t xml:space="preserve">(Deng, Menassa, and Kamat 2021; Espinosa Gispert et al. 2025; Goretti and Kaming 2023)</w:t>
      </w:r>
      <w:r>
        <w:t xml:space="preserve">. Contudo, cumprem funções distintas: plataformas organizam e sincronizam dados, enquanto modelos treinados estimam demanda, vida útil ou anomalias</w:t>
      </w:r>
      <w:r>
        <w:t xml:space="preserve"> </w:t>
      </w:r>
      <w:r>
        <w:t xml:space="preserve">(Espinosa Gispert et al. 2025; Motuzienė et al. 2025; Wu and Mundt-Petersen 2025; Das 2025)</w:t>
      </w:r>
      <w:r>
        <w:t xml:space="preserve">. A transformação dessas saídas em prioridade institucional ainda exige critérios, preferências, restrições e responsabilização decisória, funções que não são substituídas pela capacidade preditiva do modelo</w:t>
      </w:r>
      <w:r>
        <w:t xml:space="preserve"> </w:t>
      </w:r>
      <w:r>
        <w:t xml:space="preserve">(Alfalah et al. 2022; Naji, Gunduz, and Maki 2023; Masmoudi et al. 2026; Das 2025)</w:t>
      </w:r>
      <w:r>
        <w:t xml:space="preserve">. Revisões sobre a transição de BIM para</w:t>
      </w:r>
      <w:r>
        <w:t xml:space="preserve"> </w:t>
      </w:r>
      <w:r>
        <w:rPr>
          <w:iCs/>
          <w:i/>
        </w:rPr>
        <w:t xml:space="preserve">digital twin</w:t>
      </w:r>
      <w:r>
        <w:t xml:space="preserve"> </w:t>
      </w:r>
      <w:r>
        <w:t xml:space="preserve">e modelos de informação de ativos mostram potencial de integração e, simultaneamente, lacunas de interoperabilidade e retroalimentação</w:t>
      </w:r>
      <w:r>
        <w:t xml:space="preserve"> </w:t>
      </w:r>
      <w:r>
        <w:t xml:space="preserve">(Deng, Menassa, and Kamat 2021; Espinosa Gispert et al. 2025; Goretti and Kaming 2023)</w:t>
      </w:r>
      <w:r>
        <w:t xml:space="preserve">. Estudos integrais do lote de sensibilidade reforçam a necessidade de validação contextual e governança dos dados</w:t>
      </w:r>
      <w:r>
        <w:t xml:space="preserve"> </w:t>
      </w:r>
      <w:r>
        <w:t xml:space="preserve">(Motuzienė et al. 2025; Wu and Mundt-Petersen 2025; Das 2025)</w:t>
      </w:r>
      <w:r>
        <w:t xml:space="preserve">.</w:t>
      </w:r>
    </w:p>
    <w:p>
      <w:pPr>
        <w:pStyle w:val="BodyText"/>
      </w:pPr>
      <w:r>
        <w:t xml:space="preserve">A corrente de integração multicritério fornece procedimentos para estruturar conflitos entre objetivos</w:t>
      </w:r>
      <w:r>
        <w:t xml:space="preserve"> </w:t>
      </w:r>
      <w:r>
        <w:t xml:space="preserve">(Alfalah et al. 2022; Naji, Gunduz, and Maki 2023; Masmoudi et al. 2026)</w:t>
      </w:r>
      <w:r>
        <w:t xml:space="preserve">. AHP, TOPSIS e ANP apoiam ponderação e ordenação; Delphi apoia construção de consenso; métodos fuzzy tratam julgamentos linguísticos; e otimização explora restrições e combinações, funções observadas em aplicações educacionais, de</w:t>
      </w:r>
      <w:r>
        <w:t xml:space="preserve"> </w:t>
      </w:r>
      <w:r>
        <w:rPr>
          <w:iCs/>
          <w:i/>
        </w:rPr>
        <w:t xml:space="preserve">campus</w:t>
      </w:r>
      <w:r>
        <w:t xml:space="preserve"> </w:t>
      </w:r>
      <w:r>
        <w:t xml:space="preserve">e de manutenção pública</w:t>
      </w:r>
      <w:r>
        <w:t xml:space="preserve"> </w:t>
      </w:r>
      <w:r>
        <w:t xml:space="preserve">(Alfalah et al. 2022; Naji, Gunduz, and Maki 2023; Masmoudi et al. 2026)</w:t>
      </w:r>
      <w:r>
        <w:t xml:space="preserve">. Ainda assim, a seleção do método deve considerar o problema decisório, a qualidade dos dados, a compensabilidade dos critérios e a capacidade dos usuários, e não apenas sua frequência bibliográfica</w:t>
      </w:r>
      <w:r>
        <w:t xml:space="preserve"> </w:t>
      </w:r>
      <w:r>
        <w:t xml:space="preserve">(Alfalah et al. 2022; Naji, Gunduz, and Maki 2023; Masmoudi et al. 2026)</w:t>
      </w:r>
      <w:r>
        <w:t xml:space="preserve">.</w:t>
      </w:r>
    </w:p>
    <w:bookmarkEnd w:id="21"/>
    <w:bookmarkStart w:id="26" w:name="sec:metodologia"/>
    <w:p>
      <w:pPr>
        <w:pStyle w:val="Heading1"/>
      </w:pPr>
      <w:r>
        <w:t xml:space="preserve">Procedimentos metodológicos</w:t>
      </w:r>
    </w:p>
    <w:p>
      <w:pPr>
        <w:pStyle w:val="FirstParagraph"/>
      </w:pPr>
      <w:r>
        <w:t xml:space="preserve">A pesquisa foi estruturada como revisão integrativa sistematizada, com apoio bibliométrico e síntese temática. A revisão integrativa permite reunir estudos com diferentes delineamentos sob uma pergunta comum, desde que o processo de busca, seleção e síntese seja explicitado</w:t>
      </w:r>
      <w:r>
        <w:t xml:space="preserve"> </w:t>
      </w:r>
      <w:r>
        <w:t xml:space="preserve">(Whittemore and Knafl 2005; Snyder 2019)</w:t>
      </w:r>
      <w:r>
        <w:t xml:space="preserve">. O apoio bibliométrico foi utilizado para organizar o corpus, descrever sua distribuição e orientar a síntese temática</w:t>
      </w:r>
      <w:r>
        <w:t xml:space="preserve"> </w:t>
      </w:r>
      <w:r>
        <w:t xml:space="preserve">(Donthu et al. 2021)</w:t>
      </w:r>
      <w:r>
        <w:t xml:space="preserve">.</w:t>
      </w:r>
    </w:p>
    <w:p>
      <w:pPr>
        <w:pStyle w:val="BodyText"/>
      </w:pPr>
      <w:r>
        <w:t xml:space="preserve">A análise foi organizada em dois níveis complementares. A camada bibliométrica ampliada utilizou os 372 registros classificados como</w:t>
      </w:r>
      <w:r>
        <w:t xml:space="preserve"> </w:t>
      </w:r>
      <w:r>
        <w:rPr>
          <w:rStyle w:val="VerbatimChar"/>
        </w:rPr>
        <w:t xml:space="preserve">A_nucleo_forte</w:t>
      </w:r>
      <w:r>
        <w:t xml:space="preserve"> </w:t>
      </w:r>
      <w:r>
        <w:t xml:space="preserve">na busca principal, todos com título, ano, fonte e resumo e 329 com palavras-chave. Esse conjunto foi empregado para analisar fontes, coocorrência de palavras-chave, mapa temático e evolução entre 2010–2020 e 2021–2026. A síntese temática utilizou inicialmente 104 registros e passou a 121 após a incorporação de 17 registros identificados pela busca complementar de sensibilidade para inteligência artificial e aprendizado de máquina. Os registros recuperados por essa busca direcionada não foram acrescentados à camada bibliométrica de 372, porque o enriquecimento deliberado com termos de IA e aprendizado de máquina alteraria artificialmente a estrutura temática observada na busca principal. A rede de colaboração não foi produzida porque apenas 91 dos 372 registros possuíam autores e não havia afiliações; o acoplamento bibliográfico não foi calculado porque as referências citadas não foram preservadas no corpus consolidado. A normalização reuniu variantes ortográficas e siglas equivalentes, e as relações de coocorrência foram normalizadas pelas frequências marginais.</w:t>
      </w:r>
    </w:p>
    <w:p>
      <w:pPr>
        <w:pStyle w:val="BodyText"/>
      </w:pPr>
      <w:r>
        <w:t xml:space="preserve">A organização do relato metodológico explicita pergunta, busca, seleção, extração e síntese, elementos de transparência e reprodutibilidade destacados por</w:t>
      </w:r>
      <w:r>
        <w:t xml:space="preserve"> </w:t>
      </w:r>
      <w:r>
        <w:t xml:space="preserve">Hu et al. (2026)</w:t>
      </w:r>
      <w:r>
        <w:t xml:space="preserve">. A referência é empregada apenas como parâmetro de relato; não implica pré-registro, dupla revisão, avaliação de risco de viés, elegibilidade integral em texto completo ou metanálise, procedimentos não realizados.</w:t>
      </w:r>
    </w:p>
    <w:bookmarkStart w:id="22" w:name="Xca0b6dcf81fd8d2c8a9c0a77c769b2ff979df2a"/>
    <w:p>
      <w:pPr>
        <w:pStyle w:val="Heading2"/>
      </w:pPr>
      <w:r>
        <w:t xml:space="preserve">Reprodutibilidade, ciência aberta e limites da automação</w:t>
      </w:r>
    </w:p>
    <w:p>
      <w:pPr>
        <w:pStyle w:val="FirstParagraph"/>
      </w:pPr>
      <w:r>
        <w:t xml:space="preserve">Consultas, exportações, manual de codificação, matrizes intermediárias, scripts determinísticos, figuras e verificações automatizadas foram versionados no repositório da pesquisa. O fluxo preserva identificadores, proveniência das bases, regras de deduplicação, decisões de triagem e parâmetros da síntese, permitindo que resultados numéricos e produtos bibliométricos sejam recompilados a partir dos arquivos disponíveis. Essa rastreabilidade constitui uma contribuição de ciência aberta, ainda que não substitua pré-registro nem revisão independente.</w:t>
      </w:r>
    </w:p>
    <w:p>
      <w:pPr>
        <w:pStyle w:val="BodyText"/>
      </w:pPr>
      <w:r>
        <w:t xml:space="preserve">O caráter determinístico das rotinas reduz variações de execução: a mesma entrada, a mesma versão do código e os mesmos parâmetros produzem a mesma saída. Isso não elimina subjetividade. O manual de codificação, os limiares, as categorias, as expressões de busca e as decisões humanas sobre casos duvidosos incorporam escolhas analíticas. A automação torna essas escolhas mais auditáveis, mas não as converte em verdade objetiva.</w:t>
      </w:r>
    </w:p>
    <w:p>
      <w:pPr>
        <w:pStyle w:val="BodyText"/>
      </w:pPr>
      <w:r>
        <w:t xml:space="preserve">A literatura cinzenta não foi incluída em busca estruturada porque o desenho priorizou fontes com metadados bibliográficos interoperáveis e campos necessários à deduplicação e à análise. Essa decisão melhora a comparabilidade dos registros, mas pode reduzir a cobertura de relatórios técnicos, normas internas, planos de manutenção e experiências institucionais não indexadas. Portanto, a ausência desses documentos é uma limitação de cobertura e não deve ser apresentada como evidência de maior qualidade do corpus.</w:t>
      </w:r>
    </w:p>
    <w:p>
      <w:pPr>
        <w:pStyle w:val="BodyText"/>
      </w:pPr>
      <w:r>
        <w:t xml:space="preserve">Para padronização terminológica, MCDM designa</w:t>
      </w:r>
      <w:r>
        <w:t xml:space="preserve"> </w:t>
      </w:r>
      <w:r>
        <w:rPr>
          <w:iCs/>
          <w:i/>
        </w:rPr>
        <w:t xml:space="preserve">multi-criteria decision-making</w:t>
      </w:r>
      <w:r>
        <w:t xml:space="preserve"> </w:t>
      </w:r>
      <w:r>
        <w:t xml:space="preserve">e MCDA,</w:t>
      </w:r>
      <w:r>
        <w:t xml:space="preserve"> </w:t>
      </w:r>
      <w:r>
        <w:rPr>
          <w:iCs/>
          <w:i/>
        </w:rPr>
        <w:t xml:space="preserve">multi-criteria decision analysis</w:t>
      </w:r>
      <w:r>
        <w:t xml:space="preserve">. Entre os métodos nomeados, AHP corresponde a</w:t>
      </w:r>
      <w:r>
        <w:t xml:space="preserve"> </w:t>
      </w:r>
      <w:r>
        <w:rPr>
          <w:iCs/>
          <w:i/>
        </w:rPr>
        <w:t xml:space="preserve">Analytic Hierarchy Process</w:t>
      </w:r>
      <w:r>
        <w:t xml:space="preserve">, TOPSIS a</w:t>
      </w:r>
      <w:r>
        <w:t xml:space="preserve"> </w:t>
      </w:r>
      <w:r>
        <w:rPr>
          <w:iCs/>
          <w:i/>
        </w:rPr>
        <w:t xml:space="preserve">Technique for Order Preference by Similarity to Ideal Solution</w:t>
      </w:r>
      <w:r>
        <w:t xml:space="preserve"> </w:t>
      </w:r>
      <w:r>
        <w:t xml:space="preserve">e ANP a</w:t>
      </w:r>
      <w:r>
        <w:t xml:space="preserve"> </w:t>
      </w:r>
      <w:r>
        <w:rPr>
          <w:iCs/>
          <w:i/>
        </w:rPr>
        <w:t xml:space="preserve">Analytic Network Process</w:t>
      </w:r>
      <w:r>
        <w:t xml:space="preserve">; aplicações dessas famílias metodológicas no domínio predial são apresentadas por</w:t>
      </w:r>
      <w:r>
        <w:t xml:space="preserve"> </w:t>
      </w:r>
      <w:r>
        <w:t xml:space="preserve">Alfalah et al. (2022; Naji, Gunduz, and Maki 2023; Masmoudi et al. 2026)</w:t>
      </w:r>
      <w:r>
        <w:t xml:space="preserve">.</w:t>
      </w:r>
    </w:p>
    <w:p>
      <w:pPr>
        <w:pStyle w:val="BodyText"/>
      </w:pPr>
      <w:r>
        <w:t xml:space="preserve">A matriz de alinhamento da Tabela </w:t>
      </w:r>
      <w:hyperlink w:anchor="tab:alinhamentorq">
        <w:r>
          <w:rPr>
            <w:rStyle w:val="Hyperlink"/>
          </w:rPr>
          <w:t xml:space="preserve">2</w:t>
        </w:r>
      </w:hyperlink>
      <w:r>
        <w:t xml:space="preserve"> </w:t>
      </w:r>
      <w:r>
        <w:t xml:space="preserve">explicita a correspondência entre a pergunta central, as questões específicas, os critérios de seleção, os campos extraídos e os resultados apresentados. O contexto público universitário e os métodos de apoio à decisão foram campos de caracterização analítica, e não requisitos obrigatórios de inclusão.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sz w:val="18"/>
              </w:rPr>
              <w:t>Elemento</w:t>
            </w:r>
          </w:p>
        </w:tc>
        <w:tc>
          <w:tcPr>
            <w:tcW w:type="dxa" w:w="1872"/>
          </w:tcPr>
          <w:p>
            <w:r>
              <w:rPr>
                <w:b/>
                <w:sz w:val="18"/>
              </w:rPr>
              <w:t>Formulação sintética</w:t>
            </w:r>
          </w:p>
        </w:tc>
        <w:tc>
          <w:tcPr>
            <w:tcW w:type="dxa" w:w="1872"/>
          </w:tcPr>
          <w:p>
            <w:r>
              <w:rPr>
                <w:b/>
                <w:sz w:val="18"/>
              </w:rPr>
              <w:t>Critério de seleção</w:t>
            </w:r>
          </w:p>
        </w:tc>
        <w:tc>
          <w:tcPr>
            <w:tcW w:type="dxa" w:w="1872"/>
          </w:tcPr>
          <w:p>
            <w:r>
              <w:rPr>
                <w:b/>
                <w:sz w:val="18"/>
              </w:rPr>
              <w:t>Campo de extração</w:t>
            </w:r>
          </w:p>
        </w:tc>
        <w:tc>
          <w:tcPr>
            <w:tcW w:type="dxa" w:w="1872"/>
          </w:tcPr>
          <w:p>
            <w:r>
              <w:rPr>
                <w:b/>
                <w:sz w:val="18"/>
              </w:rPr>
              <w:t>Resultado correspondente</w:t>
            </w:r>
          </w:p>
        </w:tc>
      </w:tr>
      <w:tr>
        <w:tc>
          <w:tcPr>
            <w:tcW w:type="dxa" w:w="1872"/>
          </w:tcPr>
          <w:p>
            <w:r>
              <w:rPr>
                <w:sz w:val="18"/>
              </w:rPr>
              <w:t>RQ0</w:t>
            </w:r>
          </w:p>
        </w:tc>
        <w:tc>
          <w:tcPr>
            <w:tcW w:type="dxa" w:w="1872"/>
          </w:tcPr>
          <w:p>
            <w:r>
              <w:rPr>
                <w:sz w:val="18"/>
              </w:rPr>
              <w:t>Integração entre sustentabilidade, manutenção, gestão predial e apoio à decisão; elementos aplicáveis à priorização pública universitária.</w:t>
            </w:r>
          </w:p>
        </w:tc>
        <w:tc>
          <w:tcPr>
            <w:tcW w:type="dxa" w:w="1872"/>
          </w:tcPr>
          <w:p>
            <w:r>
              <w:rPr>
                <w:sz w:val="18"/>
              </w:rPr>
              <w:t>Objeto predial e sustentabilidade obrigatórios; decisão e contexto como caracterização.</w:t>
            </w:r>
          </w:p>
        </w:tc>
        <w:tc>
          <w:tcPr>
            <w:tcW w:type="dxa" w:w="1872"/>
          </w:tcPr>
          <w:p>
            <w:r>
              <w:rPr>
                <w:sz w:val="18"/>
              </w:rPr>
              <w:t>rq0_confirmada; contribuição; critérios; métodos; contexto; dimensões.</w:t>
            </w:r>
          </w:p>
        </w:tc>
        <w:tc>
          <w:tcPr>
            <w:tcW w:type="dxa" w:w="1872"/>
          </w:tcPr>
          <w:p>
            <w:r>
              <w:rPr>
                <w:sz w:val="18"/>
              </w:rPr>
              <w:t>Síntese integrada nas Seções 6 a 9.</w:t>
            </w:r>
          </w:p>
        </w:tc>
      </w:tr>
      <w:tr>
        <w:tc>
          <w:tcPr>
            <w:tcW w:type="dxa" w:w="1872"/>
          </w:tcPr>
          <w:p>
            <w:r>
              <w:rPr>
                <w:sz w:val="18"/>
              </w:rPr>
              <w:t>RQ1</w:t>
            </w:r>
          </w:p>
        </w:tc>
        <w:tc>
          <w:tcPr>
            <w:tcW w:type="dxa" w:w="1872"/>
          </w:tcPr>
          <w:p>
            <w:r>
              <w:rPr>
                <w:sz w:val="18"/>
              </w:rPr>
              <w:t>Dimensões de sustentabilidade identificadas.</w:t>
            </w:r>
          </w:p>
        </w:tc>
        <w:tc>
          <w:tcPr>
            <w:tcW w:type="dxa" w:w="1872"/>
          </w:tcPr>
          <w:p>
            <w:r>
              <w:rPr>
                <w:sz w:val="18"/>
              </w:rPr>
              <w:t>Sustentabilidade obrigatória.</w:t>
            </w:r>
          </w:p>
        </w:tc>
        <w:tc>
          <w:tcPr>
            <w:tcW w:type="dxa" w:w="1872"/>
          </w:tcPr>
          <w:p>
            <w:r>
              <w:rPr>
                <w:sz w:val="18"/>
              </w:rPr>
              <w:t>dimensoes_sustentabilidade_identificadas_leitura.</w:t>
            </w:r>
          </w:p>
        </w:tc>
        <w:tc>
          <w:tcPr>
            <w:tcW w:type="dxa" w:w="1872"/>
          </w:tcPr>
          <w:p>
            <w:r>
              <w:rPr>
                <w:sz w:val="18"/>
              </w:rPr>
              <w:t>Seção 6 e Gráfico 7.</w:t>
            </w:r>
          </w:p>
        </w:tc>
      </w:tr>
      <w:tr>
        <w:tc>
          <w:tcPr>
            <w:tcW w:type="dxa" w:w="1872"/>
          </w:tcPr>
          <w:p>
            <w:r>
              <w:rPr>
                <w:sz w:val="18"/>
              </w:rPr>
              <w:t>RQ2</w:t>
            </w:r>
          </w:p>
        </w:tc>
        <w:tc>
          <w:tcPr>
            <w:tcW w:type="dxa" w:w="1872"/>
          </w:tcPr>
          <w:p>
            <w:r>
              <w:rPr>
                <w:sz w:val="18"/>
              </w:rPr>
              <w:t>Critérios de priorização identificados.</w:t>
            </w:r>
          </w:p>
        </w:tc>
        <w:tc>
          <w:tcPr>
            <w:tcW w:type="dxa" w:w="1872"/>
          </w:tcPr>
          <w:p>
            <w:r>
              <w:rPr>
                <w:sz w:val="18"/>
              </w:rPr>
              <w:t>Decisão e priorização como caracterização.</w:t>
            </w:r>
          </w:p>
        </w:tc>
        <w:tc>
          <w:tcPr>
            <w:tcW w:type="dxa" w:w="1872"/>
          </w:tcPr>
          <w:p>
            <w:r>
              <w:rPr>
                <w:sz w:val="18"/>
              </w:rPr>
              <w:t>criterios_identificados_leitura.</w:t>
            </w:r>
          </w:p>
        </w:tc>
        <w:tc>
          <w:tcPr>
            <w:tcW w:type="dxa" w:w="1872"/>
          </w:tcPr>
          <w:p>
            <w:r>
              <w:rPr>
                <w:sz w:val="18"/>
              </w:rPr>
              <w:t>Seção 6 e Tabela 8.</w:t>
            </w:r>
          </w:p>
        </w:tc>
      </w:tr>
      <w:tr>
        <w:tc>
          <w:tcPr>
            <w:tcW w:type="dxa" w:w="1872"/>
          </w:tcPr>
          <w:p>
            <w:r>
              <w:rPr>
                <w:sz w:val="18"/>
              </w:rPr>
              <w:t>RQ3</w:t>
            </w:r>
          </w:p>
        </w:tc>
        <w:tc>
          <w:tcPr>
            <w:tcW w:type="dxa" w:w="1872"/>
          </w:tcPr>
          <w:p>
            <w:r>
              <w:rPr>
                <w:sz w:val="18"/>
              </w:rPr>
              <w:t>Métodos de apoio à decisão identificados.</w:t>
            </w:r>
          </w:p>
        </w:tc>
        <w:tc>
          <w:tcPr>
            <w:tcW w:type="dxa" w:w="1872"/>
          </w:tcPr>
          <w:p>
            <w:r>
              <w:rPr>
                <w:sz w:val="18"/>
              </w:rPr>
              <w:t>Método de decisão como caracterização.</w:t>
            </w:r>
          </w:p>
        </w:tc>
        <w:tc>
          <w:tcPr>
            <w:tcW w:type="dxa" w:w="1872"/>
          </w:tcPr>
          <w:p>
            <w:r>
              <w:rPr>
                <w:sz w:val="18"/>
              </w:rPr>
              <w:t>metodos_decisao_identificados_leitura.</w:t>
            </w:r>
          </w:p>
        </w:tc>
        <w:tc>
          <w:tcPr>
            <w:tcW w:type="dxa" w:w="1872"/>
          </w:tcPr>
          <w:p>
            <w:r>
              <w:rPr>
                <w:sz w:val="18"/>
              </w:rPr>
              <w:t>Seção 7 e Gráfico 8.</w:t>
            </w:r>
          </w:p>
        </w:tc>
      </w:tr>
      <w:tr>
        <w:tc>
          <w:tcPr>
            <w:tcW w:type="dxa" w:w="1872"/>
          </w:tcPr>
          <w:p>
            <w:r>
              <w:rPr>
                <w:sz w:val="18"/>
              </w:rPr>
              <w:t>RQ4</w:t>
            </w:r>
          </w:p>
        </w:tc>
        <w:tc>
          <w:tcPr>
            <w:tcW w:type="dxa" w:w="1872"/>
          </w:tcPr>
          <w:p>
            <w:r>
              <w:rPr>
                <w:sz w:val="18"/>
              </w:rPr>
              <w:t>Contextos de edificação identificados.</w:t>
            </w:r>
          </w:p>
        </w:tc>
        <w:tc>
          <w:tcPr>
            <w:tcW w:type="dxa" w:w="1872"/>
          </w:tcPr>
          <w:p>
            <w:r>
              <w:rPr>
                <w:sz w:val="18"/>
              </w:rPr>
              <w:t>Contexto como caracterização, sem recorte isolado.</w:t>
            </w:r>
          </w:p>
        </w:tc>
        <w:tc>
          <w:tcPr>
            <w:tcW w:type="dxa" w:w="1872"/>
          </w:tcPr>
          <w:p>
            <w:r>
              <w:rPr>
                <w:sz w:val="18"/>
              </w:rPr>
              <w:t>contexto_edificacao_identificado_leitura.</w:t>
            </w:r>
          </w:p>
        </w:tc>
        <w:tc>
          <w:tcPr>
            <w:tcW w:type="dxa" w:w="1872"/>
          </w:tcPr>
          <w:p>
            <w:r>
              <w:rPr>
                <w:sz w:val="18"/>
              </w:rPr>
              <w:t>Seção 8 e Tabela 9.</w:t>
            </w:r>
          </w:p>
        </w:tc>
      </w:tr>
      <w:tr>
        <w:tc>
          <w:tcPr>
            <w:tcW w:type="dxa" w:w="1872"/>
          </w:tcPr>
          <w:p>
            <w:r>
              <w:rPr>
                <w:sz w:val="18"/>
              </w:rPr>
              <w:t>RQ5</w:t>
            </w:r>
          </w:p>
        </w:tc>
        <w:tc>
          <w:tcPr>
            <w:tcW w:type="dxa" w:w="1872"/>
          </w:tcPr>
          <w:p>
            <w:r>
              <w:rPr>
                <w:sz w:val="18"/>
              </w:rPr>
              <w:t>Lacunas registradas para instituições públicas de ensino superior.</w:t>
            </w:r>
          </w:p>
        </w:tc>
        <w:tc>
          <w:tcPr>
            <w:tcW w:type="dxa" w:w="1872"/>
          </w:tcPr>
          <w:p>
            <w:r>
              <w:rPr>
                <w:sz w:val="18"/>
              </w:rPr>
              <w:t>Contexto público/universitário como reforço não obrigatório.</w:t>
            </w:r>
          </w:p>
        </w:tc>
        <w:tc>
          <w:tcPr>
            <w:tcW w:type="dxa" w:w="1872"/>
          </w:tcPr>
          <w:p>
            <w:r>
              <w:rPr>
                <w:sz w:val="18"/>
              </w:rPr>
              <w:t>lacuna_ou_limite_identificado_leitura; contribuição do artigo.</w:t>
            </w:r>
          </w:p>
        </w:tc>
        <w:tc>
          <w:tcPr>
            <w:tcW w:type="dxa" w:w="1872"/>
          </w:tcPr>
          <w:p>
            <w:r>
              <w:rPr>
                <w:sz w:val="18"/>
              </w:rPr>
              <w:t>Seções 8, 11 e 12.</w:t>
            </w:r>
          </w:p>
        </w:tc>
      </w:tr>
      <w:tr>
        <w:tc>
          <w:tcPr>
            <w:tcW w:type="dxa" w:w="1872"/>
          </w:tcPr>
          <w:p>
            <w:r>
              <w:rPr>
                <w:sz w:val="18"/>
              </w:rPr>
              <w:t>RQ6</w:t>
            </w:r>
          </w:p>
        </w:tc>
        <w:tc>
          <w:tcPr>
            <w:tcW w:type="dxa" w:w="1872"/>
          </w:tcPr>
          <w:p>
            <w:r>
              <w:rPr>
                <w:sz w:val="18"/>
              </w:rPr>
              <w:t>Efeito da busca de sensibilidade sobre a identificação de IA e aprendizado de máquina.</w:t>
            </w:r>
          </w:p>
        </w:tc>
        <w:tc>
          <w:tcPr>
            <w:tcW w:type="dxa" w:w="1872"/>
          </w:tcPr>
          <w:p>
            <w:r>
              <w:rPr>
                <w:sz w:val="18"/>
              </w:rPr>
              <w:t>Técnica computacional confirmada, objeto predial e sustentabilidade; termos ambíguos exigem contexto adicional.</w:t>
            </w:r>
          </w:p>
        </w:tc>
        <w:tc>
          <w:tcPr>
            <w:tcW w:type="dxa" w:w="1872"/>
          </w:tcPr>
          <w:p>
            <w:r>
              <w:rPr>
                <w:sz w:val="18"/>
              </w:rPr>
              <w:t>Classe de evidência RQ6; técnica identificada; contexto; decisão de incorporação.</w:t>
            </w:r>
          </w:p>
        </w:tc>
        <w:tc>
          <w:tcPr>
            <w:tcW w:type="dxa" w:w="1872"/>
          </w:tcPr>
          <w:p>
            <w:r>
              <w:rPr>
                <w:sz w:val="18"/>
              </w:rPr>
              <w:t>Seções 3.4, 7, 10 e 12.</w:t>
            </w:r>
          </w:p>
        </w:tc>
      </w:tr>
    </w:tbl>
    <w:p/>
    <w:p>
      <w:pPr>
        <w:pStyle w:val="BodyText"/>
      </w:pPr>
      <w:r>
        <w:t xml:space="preserve">A busca principal abrangeu publicações de 2010 a 2026 nas bases Scopus, Web of Science e Crossref. Suas 13 consultas foram executadas em 8 de julho de 2026. Na Scopus, o enriquecimento manual realizado em 9 de julho de 2026, por casamento de EID com a exportação do site, identificou cinco registros existentes apenas no arquivo manual e os incorporou ao corpus. Na Web of Science, a recontagem do quarto arquivo corrigiu o total de 502 para 503 registros; tratou-se de correção do método de contagem, não de novo registro. As consultas principais foram organizadas em quatro eixos: manutenção e sustentabilidade; contexto público universitário; priorização da manutenção; e gestão de ativos no ciclo de vida.</w:t>
      </w:r>
    </w:p>
    <w:p>
      <w:pPr>
        <w:pStyle w:val="BodyText"/>
      </w:pPr>
      <w:r>
        <w:t xml:space="preserve">Na Scopus, quatro expressões booleanas, sem filtros de idioma ou tipo documental, foram executadas em</w:t>
      </w:r>
      <w:r>
        <w:t xml:space="preserve"> </w:t>
      </w:r>
      <w:r>
        <w:rPr>
          <w:rStyle w:val="VerbatimChar"/>
        </w:rPr>
        <w:t xml:space="preserve">TITLE-ABS-KEY</w:t>
      </w:r>
      <w:r>
        <w:t xml:space="preserve">, com o intervalo anual incorporado à consulta. Quando o total excedia a janela de paginação de 5.000 resultados da interface de programação de aplicações (API), o script particionava a recuperação por subintervalos de ano. Na Web of Science, quatro buscas manuais, sem filtros de idioma ou tipo documental, foram registradas no campo</w:t>
      </w:r>
      <w:r>
        <w:t xml:space="preserve"> </w:t>
      </w:r>
      <w:r>
        <w:rPr>
          <w:rStyle w:val="VerbatimChar"/>
        </w:rPr>
        <w:t xml:space="preserve">TS (Topic)</w:t>
      </w:r>
      <w:r>
        <w:t xml:space="preserve">. No Crossref, cinco consultas textuais, sem filtros de idioma ou tipo documental, foram executadas por</w:t>
      </w:r>
      <w:r>
        <w:t xml:space="preserve"> </w:t>
      </w:r>
      <w:r>
        <w:rPr>
          <w:rStyle w:val="VerbatimChar"/>
        </w:rPr>
        <w:t xml:space="preserve">query.bibliographic</w:t>
      </w:r>
      <w:r>
        <w:t xml:space="preserve">, com filtro de data de publicação entre 2010-01-01 e 2026-12-31 e limite deliberado de 200 registros por consulta. Como esse mecanismo ordena correspondências por relevância, o Crossref foi tratado como fonte complementar de metadados, e não como equivalente às expressões booleanas das bases bibliográficas</w:t>
      </w:r>
      <w:r>
        <w:t xml:space="preserve"> </w:t>
      </w:r>
      <w:r>
        <w:t xml:space="preserve">(Crossref 2026)</w:t>
      </w:r>
      <w:r>
        <w:t xml:space="preserve">.</w:t>
      </w:r>
    </w:p>
    <w:p>
      <w:pPr>
        <w:pStyle w:val="BodyText"/>
      </w:pPr>
      <w:r>
        <w:t xml:space="preserve">A busca complementar de sensibilidade foi executada em 12 de julho de 2026 nas mesmas três fontes, sem filtros adicionais além do período de publicação. A Scopus recuperou 3.169 registros por uma expressão em</w:t>
      </w:r>
      <w:r>
        <w:t xml:space="preserve"> </w:t>
      </w:r>
      <w:r>
        <w:rPr>
          <w:rStyle w:val="VerbatimChar"/>
        </w:rPr>
        <w:t xml:space="preserve">TITLE-ABS-KEY</w:t>
      </w:r>
      <w:r>
        <w:t xml:space="preserve">. Na plataforma Web of Science, a consulta foi executada na opção All Databases, no campo</w:t>
      </w:r>
      <w:r>
        <w:t xml:space="preserve"> </w:t>
      </w:r>
      <w:r>
        <w:rPr>
          <w:rStyle w:val="VerbatimChar"/>
        </w:rPr>
        <w:t xml:space="preserve">Topic (TS)</w:t>
      </w:r>
      <w:r>
        <w:t xml:space="preserve">, e recuperou 1.559 registros exportados em duas partes não sobrepostas; esses registros apresentam indexação na Web of Science Core Collection. No Crossref, dez consultas por</w:t>
      </w:r>
      <w:r>
        <w:t xml:space="preserve"> </w:t>
      </w:r>
      <w:r>
        <w:rPr>
          <w:rStyle w:val="VerbatimChar"/>
        </w:rPr>
        <w:t xml:space="preserve">query.bibliographic</w:t>
      </w:r>
      <w:r>
        <w:t xml:space="preserve">, com 200 resultados por relevância, produziram 2.000 ocorrências brutas e 1.993 registros após deduplicação interna. As strings integrais, a data, o período, os campos e os parâmetros operacionais estão documentados no protocolo e na tabela-fonte.</w:t>
      </w:r>
    </w:p>
    <w:p>
      <w:pPr>
        <w:pStyle w:val="BodyText"/>
      </w:pPr>
      <w:r>
        <w:t xml:space="preserve">A Tabela </w:t>
      </w:r>
      <w:hyperlink w:anchor="tab:estrategiabusca">
        <w:r>
          <w:rPr>
            <w:rStyle w:val="Hyperlink"/>
          </w:rPr>
          <w:t xml:space="preserve">3</w:t>
        </w:r>
      </w:hyperlink>
      <w:r>
        <w:t xml:space="preserve"> </w:t>
      </w:r>
      <w:r>
        <w:t xml:space="preserve">consolida as duas rodadas. O arquivo</w:t>
      </w:r>
      <w:r>
        <w:t xml:space="preserve"> </w:t>
      </w:r>
      <w:r>
        <w:rPr>
          <w:rStyle w:val="VerbatimChar"/>
        </w:rPr>
        <w:t xml:space="preserve">latex-artigo/fontes/tabela_estrategia_busca.csv</w:t>
      </w:r>
      <w:r>
        <w:t xml:space="preserve"> </w:t>
      </w:r>
      <w:r>
        <w:t xml:space="preserve">preserva uma linha por consulta, com expressão documentada, campo, data, período, retorno bruto e observação. A soma de 18.846 corresponde apenas ao volume operacional das duas rodadas antes da deduplicação e não constitui corpus homogêneo, porque a busca de sensibilidade foi deliberadamente enriquecida para IA e aprendizado de máquina.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tcPr>
          <w:p>
            <w:r>
              <w:rPr>
                <w:b/>
                <w:sz w:val="18"/>
              </w:rPr>
              <w:t>Rodada</w:t>
            </w:r>
          </w:p>
        </w:tc>
        <w:tc>
          <w:tcPr>
            <w:tcW w:type="dxa" w:w="1560"/>
          </w:tcPr>
          <w:p>
            <w:r>
              <w:rPr>
                <w:b/>
                <w:sz w:val="18"/>
              </w:rPr>
              <w:t>Base</w:t>
            </w:r>
          </w:p>
        </w:tc>
        <w:tc>
          <w:tcPr>
            <w:tcW w:type="dxa" w:w="1560"/>
          </w:tcPr>
          <w:p>
            <w:r>
              <w:rPr>
                <w:b/>
                <w:sz w:val="18"/>
              </w:rPr>
              <w:t>Data</w:t>
            </w:r>
          </w:p>
        </w:tc>
        <w:tc>
          <w:tcPr>
            <w:tcW w:type="dxa" w:w="1560"/>
          </w:tcPr>
          <w:p>
            <w:r>
              <w:rPr>
                <w:b/>
                <w:sz w:val="18"/>
              </w:rPr>
              <w:t>Campo e consultas</w:t>
            </w:r>
          </w:p>
        </w:tc>
        <w:tc>
          <w:tcPr>
            <w:tcW w:type="dxa" w:w="1560"/>
          </w:tcPr>
          <w:p>
            <w:r>
              <w:rPr>
                <w:b/>
                <w:sz w:val="18"/>
              </w:rPr>
              <w:t>Registros</w:t>
            </w:r>
          </w:p>
        </w:tc>
        <w:tc>
          <w:tcPr>
            <w:tcW w:type="dxa" w:w="1560"/>
          </w:tcPr>
          <w:p>
            <w:r>
              <w:rPr>
                <w:b/>
                <w:sz w:val="18"/>
              </w:rPr>
              <w:t>Documentação</w:t>
            </w:r>
          </w:p>
        </w:tc>
      </w:tr>
      <w:tr>
        <w:tc>
          <w:tcPr>
            <w:tcW w:type="dxa" w:w="1560"/>
          </w:tcPr>
          <w:p>
            <w:r>
              <w:rPr>
                <w:sz w:val="18"/>
              </w:rPr>
              <w:t>Principal</w:t>
            </w:r>
          </w:p>
        </w:tc>
        <w:tc>
          <w:tcPr>
            <w:tcW w:type="dxa" w:w="1560"/>
          </w:tcPr>
          <w:p>
            <w:r>
              <w:rPr>
                <w:sz w:val="18"/>
              </w:rPr>
              <w:t>Scopus</w:t>
            </w:r>
          </w:p>
        </w:tc>
        <w:tc>
          <w:tcPr>
            <w:tcW w:type="dxa" w:w="1560"/>
          </w:tcPr>
          <w:p>
            <w:r>
              <w:rPr>
                <w:sz w:val="18"/>
              </w:rPr>
              <w:t>08–09/07/2026</w:t>
            </w:r>
          </w:p>
        </w:tc>
        <w:tc>
          <w:tcPr>
            <w:tcW w:type="dxa" w:w="1560"/>
          </w:tcPr>
          <w:p>
            <w:r>
              <w:rPr>
                <w:sz w:val="18"/>
              </w:rPr>
              <w:t>4 em TITLE-ABS-KEY; enriquecimento por EID</w:t>
            </w:r>
          </w:p>
        </w:tc>
        <w:tc>
          <w:tcPr>
            <w:tcW w:type="dxa" w:w="1560"/>
          </w:tcPr>
          <w:p>
            <w:r>
              <w:rPr>
                <w:sz w:val="18"/>
              </w:rPr>
              <w:t>9.438</w:t>
            </w:r>
          </w:p>
        </w:tc>
        <w:tc>
          <w:tcPr>
            <w:tcW w:type="dxa" w:w="1560"/>
          </w:tcPr>
          <w:p>
            <w:r>
              <w:rPr>
                <w:sz w:val="18"/>
              </w:rPr>
              <w:t>Strings preservadas; 9.433 da API e cinco do export manual.</w:t>
            </w:r>
          </w:p>
        </w:tc>
      </w:tr>
      <w:tr>
        <w:tc>
          <w:tcPr>
            <w:tcW w:type="dxa" w:w="1560"/>
          </w:tcPr>
          <w:p>
            <w:r>
              <w:rPr>
                <w:sz w:val="18"/>
              </w:rPr>
              <w:t>Principal</w:t>
            </w:r>
          </w:p>
        </w:tc>
        <w:tc>
          <w:tcPr>
            <w:tcW w:type="dxa" w:w="1560"/>
          </w:tcPr>
          <w:p>
            <w:r>
              <w:rPr>
                <w:sz w:val="18"/>
              </w:rPr>
              <w:t>Web of Science</w:t>
            </w:r>
          </w:p>
        </w:tc>
        <w:tc>
          <w:tcPr>
            <w:tcW w:type="dxa" w:w="1560"/>
          </w:tcPr>
          <w:p>
            <w:r>
              <w:rPr>
                <w:sz w:val="18"/>
              </w:rPr>
              <w:t>08/07/2026</w:t>
            </w:r>
          </w:p>
        </w:tc>
        <w:tc>
          <w:tcPr>
            <w:tcW w:type="dxa" w:w="1560"/>
          </w:tcPr>
          <w:p>
            <w:r>
              <w:rPr>
                <w:sz w:val="18"/>
              </w:rPr>
              <w:t>4 em TS (Topic)</w:t>
            </w:r>
          </w:p>
        </w:tc>
        <w:tc>
          <w:tcPr>
            <w:tcW w:type="dxa" w:w="1560"/>
          </w:tcPr>
          <w:p>
            <w:r>
              <w:rPr>
                <w:sz w:val="18"/>
              </w:rPr>
              <w:t>1.680</w:t>
            </w:r>
          </w:p>
        </w:tc>
        <w:tc>
          <w:tcPr>
            <w:tcW w:type="dxa" w:w="1560"/>
          </w:tcPr>
          <w:p>
            <w:r>
              <w:rPr>
                <w:sz w:val="18"/>
              </w:rPr>
              <w:t>Strings preservadas; quarta exportação recontada em 503.</w:t>
            </w:r>
          </w:p>
        </w:tc>
      </w:tr>
      <w:tr>
        <w:tc>
          <w:tcPr>
            <w:tcW w:type="dxa" w:w="1560"/>
          </w:tcPr>
          <w:p>
            <w:r>
              <w:rPr>
                <w:sz w:val="18"/>
              </w:rPr>
              <w:t>Principal</w:t>
            </w:r>
          </w:p>
        </w:tc>
        <w:tc>
          <w:tcPr>
            <w:tcW w:type="dxa" w:w="1560"/>
          </w:tcPr>
          <w:p>
            <w:r>
              <w:rPr>
                <w:sz w:val="18"/>
              </w:rPr>
              <w:t>Crossref</w:t>
            </w:r>
          </w:p>
        </w:tc>
        <w:tc>
          <w:tcPr>
            <w:tcW w:type="dxa" w:w="1560"/>
          </w:tcPr>
          <w:p>
            <w:r>
              <w:rPr>
                <w:sz w:val="18"/>
              </w:rPr>
              <w:t>08/07/2026</w:t>
            </w:r>
          </w:p>
        </w:tc>
        <w:tc>
          <w:tcPr>
            <w:tcW w:type="dxa" w:w="1560"/>
          </w:tcPr>
          <w:p>
            <w:r>
              <w:rPr>
                <w:sz w:val="18"/>
              </w:rPr>
              <w:t>5 em query.bibliographic</w:t>
            </w:r>
          </w:p>
        </w:tc>
        <w:tc>
          <w:tcPr>
            <w:tcW w:type="dxa" w:w="1560"/>
          </w:tcPr>
          <w:p>
            <w:r>
              <w:rPr>
                <w:sz w:val="18"/>
              </w:rPr>
              <w:t>1.000</w:t>
            </w:r>
          </w:p>
        </w:tc>
        <w:tc>
          <w:tcPr>
            <w:tcW w:type="dxa" w:w="1560"/>
          </w:tcPr>
          <w:p>
            <w:r>
              <w:rPr>
                <w:sz w:val="18"/>
              </w:rPr>
              <w:t>Consultas preservadas; 200 resultados por relevância.</w:t>
            </w:r>
          </w:p>
        </w:tc>
      </w:tr>
      <w:tr>
        <w:tc>
          <w:tcPr>
            <w:tcW w:type="dxa" w:w="1560"/>
          </w:tcPr>
          <w:p>
            <w:r>
              <w:rPr>
                <w:sz w:val="18"/>
              </w:rPr>
              <w:t>(lr)1-6</w:t>
            </w:r>
          </w:p>
        </w:tc>
        <w:tc>
          <w:tcPr>
            <w:tcW w:type="dxa" w:w="1560"/>
          </w:tcPr>
          <w:p>
            <w:r>
              <w:rPr>
                <w:sz w:val="18"/>
              </w:rPr>
              <w:t>12.118</w:t>
            </w:r>
          </w:p>
        </w:tc>
        <w:tc>
          <w:tcPr>
            <w:tcW w:type="dxa" w:w="1560"/>
          </w:tcPr>
          <w:p>
            <w:r>
              <w:rPr>
                <w:sz w:val="18"/>
              </w:rPr>
              <w:t>13 consultas, antes da deduplicação.</w:t>
            </w:r>
          </w:p>
        </w:tc>
        <w:tc>
          <w:tcPr>
            <w:tcW w:type="dxa" w:w="1560"/>
          </w:tcPr>
          <w:p>
            <w:r>
              <w:rPr>
                <w:sz w:val="18"/>
              </w:rPr>
            </w:r>
          </w:p>
        </w:tc>
        <w:tc>
          <w:tcPr>
            <w:tcW w:type="dxa" w:w="1560"/>
          </w:tcPr>
          <w:p>
            <w:r>
              <w:rPr>
                <w:sz w:val="18"/>
              </w:rPr>
            </w:r>
          </w:p>
        </w:tc>
        <w:tc>
          <w:tcPr>
            <w:tcW w:type="dxa" w:w="1560"/>
          </w:tcPr>
          <w:p>
            <w:r>
              <w:rPr>
                <w:sz w:val="18"/>
              </w:rPr>
            </w:r>
          </w:p>
        </w:tc>
      </w:tr>
      <w:tr>
        <w:tc>
          <w:tcPr>
            <w:tcW w:type="dxa" w:w="1560"/>
          </w:tcPr>
          <w:p>
            <w:r>
              <w:rPr>
                <w:sz w:val="18"/>
              </w:rPr>
              <w:t>Sensibilidade IA/ML</w:t>
            </w:r>
          </w:p>
        </w:tc>
        <w:tc>
          <w:tcPr>
            <w:tcW w:type="dxa" w:w="1560"/>
          </w:tcPr>
          <w:p>
            <w:r>
              <w:rPr>
                <w:sz w:val="18"/>
              </w:rPr>
              <w:t>Scopus</w:t>
            </w:r>
          </w:p>
        </w:tc>
        <w:tc>
          <w:tcPr>
            <w:tcW w:type="dxa" w:w="1560"/>
          </w:tcPr>
          <w:p>
            <w:r>
              <w:rPr>
                <w:sz w:val="18"/>
              </w:rPr>
              <w:t>12/07/2026</w:t>
            </w:r>
          </w:p>
        </w:tc>
        <w:tc>
          <w:tcPr>
            <w:tcW w:type="dxa" w:w="1560"/>
          </w:tcPr>
          <w:p>
            <w:r>
              <w:rPr>
                <w:sz w:val="18"/>
              </w:rPr>
              <w:t>1 em TITLE-ABS-KEY</w:t>
            </w:r>
          </w:p>
        </w:tc>
        <w:tc>
          <w:tcPr>
            <w:tcW w:type="dxa" w:w="1560"/>
          </w:tcPr>
          <w:p>
            <w:r>
              <w:rPr>
                <w:sz w:val="18"/>
              </w:rPr>
              <w:t>3.169</w:t>
            </w:r>
          </w:p>
        </w:tc>
        <w:tc>
          <w:tcPr>
            <w:tcW w:type="dxa" w:w="1560"/>
          </w:tcPr>
          <w:p>
            <w:r>
              <w:rPr>
                <w:sz w:val="18"/>
              </w:rPr>
              <w:t>String integral documentada; sem filtros adicionais além do período.</w:t>
            </w:r>
          </w:p>
        </w:tc>
      </w:tr>
      <w:tr>
        <w:tc>
          <w:tcPr>
            <w:tcW w:type="dxa" w:w="1560"/>
          </w:tcPr>
          <w:p>
            <w:r>
              <w:rPr>
                <w:sz w:val="18"/>
              </w:rPr>
              <w:t>Sensibilidade IA/ML</w:t>
            </w:r>
          </w:p>
        </w:tc>
        <w:tc>
          <w:tcPr>
            <w:tcW w:type="dxa" w:w="1560"/>
          </w:tcPr>
          <w:p>
            <w:r>
              <w:rPr>
                <w:sz w:val="18"/>
              </w:rPr>
              <w:t>Web of Science – All Databases</w:t>
            </w:r>
          </w:p>
        </w:tc>
        <w:tc>
          <w:tcPr>
            <w:tcW w:type="dxa" w:w="1560"/>
          </w:tcPr>
          <w:p>
            <w:r>
              <w:rPr>
                <w:sz w:val="18"/>
              </w:rPr>
              <w:t>12/07/2026</w:t>
            </w:r>
          </w:p>
        </w:tc>
        <w:tc>
          <w:tcPr>
            <w:tcW w:type="dxa" w:w="1560"/>
          </w:tcPr>
          <w:p>
            <w:r>
              <w:rPr>
                <w:sz w:val="18"/>
              </w:rPr>
              <w:t>1 em Topic (TS), exportada em duas partes</w:t>
            </w:r>
          </w:p>
        </w:tc>
        <w:tc>
          <w:tcPr>
            <w:tcW w:type="dxa" w:w="1560"/>
          </w:tcPr>
          <w:p>
            <w:r>
              <w:rPr>
                <w:sz w:val="18"/>
              </w:rPr>
              <w:t>1.559</w:t>
            </w:r>
          </w:p>
        </w:tc>
        <w:tc>
          <w:tcPr>
            <w:tcW w:type="dxa" w:w="1560"/>
          </w:tcPr>
          <w:p>
            <w:r>
              <w:rPr>
                <w:sz w:val="18"/>
              </w:rPr>
              <w:t>String integral documentada; registros indexados na Core Collection.</w:t>
            </w:r>
          </w:p>
        </w:tc>
      </w:tr>
      <w:tr>
        <w:tc>
          <w:tcPr>
            <w:tcW w:type="dxa" w:w="1560"/>
          </w:tcPr>
          <w:p>
            <w:r>
              <w:rPr>
                <w:sz w:val="18"/>
              </w:rPr>
              <w:t>Sensibilidade IA/ML</w:t>
            </w:r>
          </w:p>
        </w:tc>
        <w:tc>
          <w:tcPr>
            <w:tcW w:type="dxa" w:w="1560"/>
          </w:tcPr>
          <w:p>
            <w:r>
              <w:rPr>
                <w:sz w:val="18"/>
              </w:rPr>
              <w:t>Crossref</w:t>
            </w:r>
          </w:p>
        </w:tc>
        <w:tc>
          <w:tcPr>
            <w:tcW w:type="dxa" w:w="1560"/>
          </w:tcPr>
          <w:p>
            <w:r>
              <w:rPr>
                <w:sz w:val="18"/>
              </w:rPr>
              <w:t>12/07/2026</w:t>
            </w:r>
          </w:p>
        </w:tc>
        <w:tc>
          <w:tcPr>
            <w:tcW w:type="dxa" w:w="1560"/>
          </w:tcPr>
          <w:p>
            <w:r>
              <w:rPr>
                <w:sz w:val="18"/>
              </w:rPr>
              <w:t>10 em query.bibliographic</w:t>
            </w:r>
          </w:p>
        </w:tc>
        <w:tc>
          <w:tcPr>
            <w:tcW w:type="dxa" w:w="1560"/>
          </w:tcPr>
          <w:p>
            <w:r>
              <w:rPr>
                <w:sz w:val="18"/>
              </w:rPr>
              <w:t>2.000</w:t>
            </w:r>
          </w:p>
        </w:tc>
        <w:tc>
          <w:tcPr>
            <w:tcW w:type="dxa" w:w="1560"/>
          </w:tcPr>
          <w:p>
            <w:r>
              <w:rPr>
                <w:sz w:val="18"/>
              </w:rPr>
              <w:t>Consultas preservadas; 1.993 após deduplicação interna.</w:t>
            </w:r>
          </w:p>
        </w:tc>
      </w:tr>
      <w:tr>
        <w:tc>
          <w:tcPr>
            <w:tcW w:type="dxa" w:w="1560"/>
          </w:tcPr>
          <w:p>
            <w:r>
              <w:rPr>
                <w:sz w:val="18"/>
              </w:rPr>
              <w:t>(lr)1-6</w:t>
            </w:r>
          </w:p>
        </w:tc>
        <w:tc>
          <w:tcPr>
            <w:tcW w:type="dxa" w:w="1560"/>
          </w:tcPr>
          <w:p>
            <w:r>
              <w:rPr>
                <w:sz w:val="18"/>
              </w:rPr>
              <w:t>6.728</w:t>
            </w:r>
          </w:p>
        </w:tc>
        <w:tc>
          <w:tcPr>
            <w:tcW w:type="dxa" w:w="1560"/>
          </w:tcPr>
          <w:p>
            <w:r>
              <w:rPr>
                <w:sz w:val="18"/>
              </w:rPr>
              <w:t>12 consultas, antes da deduplicação.</w:t>
            </w:r>
          </w:p>
        </w:tc>
        <w:tc>
          <w:tcPr>
            <w:tcW w:type="dxa" w:w="1560"/>
          </w:tcPr>
          <w:p>
            <w:r>
              <w:rPr>
                <w:sz w:val="18"/>
              </w:rPr>
            </w:r>
          </w:p>
        </w:tc>
        <w:tc>
          <w:tcPr>
            <w:tcW w:type="dxa" w:w="1560"/>
          </w:tcPr>
          <w:p>
            <w:r>
              <w:rPr>
                <w:sz w:val="18"/>
              </w:rPr>
            </w:r>
          </w:p>
        </w:tc>
        <w:tc>
          <w:tcPr>
            <w:tcW w:type="dxa" w:w="1560"/>
          </w:tcPr>
          <w:p>
            <w:r>
              <w:rPr>
                <w:sz w:val="18"/>
              </w:rPr>
            </w:r>
          </w:p>
        </w:tc>
      </w:tr>
    </w:tbl>
    <w:p/>
    <w:p>
      <w:pPr>
        <w:pStyle w:val="BodyText"/>
      </w:pPr>
      <w:r>
        <w:t xml:space="preserve">Na busca principal, as quatro expressões da Scopus, as quatro strings da Web of Science e as cinco consultas do Crossref foram preservadas. Na Web of Science, a associação individual entre cada arquivo RIS e as strings A1–A4 foi informada de memória pelo pesquisador, e não reconstruída a partir de registro contemporâneo da busca. Na busca de sensibilidade, as strings da Scopus e da Web of Science e as dez consultas Crossref foram documentadas com data de execução, período, campos e ausência de filtros adicionais. A consulta da Web of Science foi realizada em All Databases, embora os registros exportados apresentem indexação na Web of Science Core Collection. Não houve busca piloto, uso de estudos-semente ou pré-registro. O protocolo e a matriz conceitual foram elaborados antes da coleta principal; a RQ6 e sua busca de sensibilidade foram formalizadas posteriormente para testar a insuficiência temática identificada. O marco inicial de 2010 foi adotado para mapear o desenvolvimento do tema desde o início da década de 2010 até a data da busca, preservando uma janela temporal contemporânea comum às três fontes.</w:t>
      </w:r>
    </w:p>
    <w:p>
      <w:pPr>
        <w:pStyle w:val="BodyText"/>
      </w:pPr>
      <w:r>
        <w:t xml:space="preserve">Os critérios de seleção combinaram aderência ao ambiente construído, manutenção ou gestão predial e sustentabilidade. Métodos de decisão, contexto público universitário e tipologia da edificação foram tratados como campos de caracterização analítica. A Tabela </w:t>
      </w:r>
      <w:hyperlink w:anchor="tab:criteriosincluexclu">
        <w:r>
          <w:rPr>
            <w:rStyle w:val="Hyperlink"/>
          </w:rPr>
          <w:t xml:space="preserve">4</w:t>
        </w:r>
      </w:hyperlink>
      <w:r>
        <w:t xml:space="preserve"> </w:t>
      </w:r>
      <w:r>
        <w:t xml:space="preserve">sintetiza as regras aplicadas.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Critério</w:t>
            </w:r>
          </w:p>
        </w:tc>
        <w:tc>
          <w:tcPr>
            <w:tcW w:type="dxa" w:w="3120"/>
          </w:tcPr>
          <w:p>
            <w:r>
              <w:rPr>
                <w:b/>
                <w:sz w:val="18"/>
              </w:rPr>
              <w:t>Aplicação</w:t>
            </w:r>
          </w:p>
        </w:tc>
        <w:tc>
          <w:tcPr>
            <w:tcW w:type="dxa" w:w="3120"/>
          </w:tcPr>
          <w:p>
            <w:r>
              <w:rPr>
                <w:b/>
                <w:sz w:val="18"/>
              </w:rPr>
              <w:t>Descrição operacional</w:t>
            </w:r>
          </w:p>
        </w:tc>
      </w:tr>
      <w:tr>
        <w:tc>
          <w:tcPr>
            <w:tcW w:type="dxa" w:w="3120"/>
          </w:tcPr>
          <w:p>
            <w:r>
              <w:rPr>
                <w:sz w:val="18"/>
              </w:rPr>
              <w:t>Objeto predial</w:t>
            </w:r>
          </w:p>
        </w:tc>
        <w:tc>
          <w:tcPr>
            <w:tcW w:type="dxa" w:w="3120"/>
          </w:tcPr>
          <w:p>
            <w:r>
              <w:rPr>
                <w:sz w:val="18"/>
              </w:rPr>
              <w:t>Inclusão</w:t>
            </w:r>
          </w:p>
        </w:tc>
        <w:tc>
          <w:tcPr>
            <w:tcW w:type="dxa" w:w="3120"/>
          </w:tcPr>
          <w:p>
            <w:r>
              <w:rPr>
                <w:sz w:val="18"/>
              </w:rPr>
              <w:t>Manutenção predial, gestão de facilidades, gestão de ativos construídos ou operação de edifícios.</w:t>
            </w:r>
          </w:p>
        </w:tc>
      </w:tr>
      <w:tr>
        <w:tc>
          <w:tcPr>
            <w:tcW w:type="dxa" w:w="3120"/>
          </w:tcPr>
          <w:p>
            <w:r>
              <w:rPr>
                <w:sz w:val="18"/>
              </w:rPr>
              <w:t>Sustentabilidade</w:t>
            </w:r>
          </w:p>
        </w:tc>
        <w:tc>
          <w:tcPr>
            <w:tcW w:type="dxa" w:w="3120"/>
          </w:tcPr>
          <w:p>
            <w:r>
              <w:rPr>
                <w:sz w:val="18"/>
              </w:rPr>
              <w:t>Inclusão</w:t>
            </w:r>
          </w:p>
        </w:tc>
        <w:tc>
          <w:tcPr>
            <w:tcW w:type="dxa" w:w="3120"/>
          </w:tcPr>
          <w:p>
            <w:r>
              <w:rPr>
                <w:sz w:val="18"/>
              </w:rPr>
              <w:t>Desempenho ambiental, ciclo de vida, energia, critérios econômicos, sociais, técnicos ou institucionais.</w:t>
            </w:r>
          </w:p>
        </w:tc>
      </w:tr>
      <w:tr>
        <w:tc>
          <w:tcPr>
            <w:tcW w:type="dxa" w:w="3120"/>
          </w:tcPr>
          <w:p>
            <w:r>
              <w:rPr>
                <w:sz w:val="18"/>
              </w:rPr>
              <w:t>Período de publicação</w:t>
            </w:r>
          </w:p>
        </w:tc>
        <w:tc>
          <w:tcPr>
            <w:tcW w:type="dxa" w:w="3120"/>
          </w:tcPr>
          <w:p>
            <w:r>
              <w:rPr>
                <w:sz w:val="18"/>
              </w:rPr>
              <w:t>Inclusão</w:t>
            </w:r>
          </w:p>
        </w:tc>
        <w:tc>
          <w:tcPr>
            <w:tcW w:type="dxa" w:w="3120"/>
          </w:tcPr>
          <w:p>
            <w:r>
              <w:rPr>
                <w:sz w:val="18"/>
              </w:rPr>
              <w:t>Publicação entre 2010 e 2026.</w:t>
            </w:r>
          </w:p>
        </w:tc>
      </w:tr>
      <w:tr>
        <w:tc>
          <w:tcPr>
            <w:tcW w:type="dxa" w:w="3120"/>
          </w:tcPr>
          <w:p>
            <w:r>
              <w:rPr>
                <w:sz w:val="18"/>
              </w:rPr>
              <w:t>Decisão e priorização</w:t>
            </w:r>
          </w:p>
        </w:tc>
        <w:tc>
          <w:tcPr>
            <w:tcW w:type="dxa" w:w="3120"/>
          </w:tcPr>
          <w:p>
            <w:r>
              <w:rPr>
                <w:sz w:val="18"/>
              </w:rPr>
              <w:t>Caracterização</w:t>
            </w:r>
          </w:p>
        </w:tc>
        <w:tc>
          <w:tcPr>
            <w:tcW w:type="dxa" w:w="3120"/>
          </w:tcPr>
          <w:p>
            <w:r>
              <w:rPr>
                <w:sz w:val="18"/>
              </w:rPr>
              <w:t>Identificação de MCDM, MCDA, AHP, TOPSIS, ANP, otimização, pontuação e outros instrumentos de apoio à decisão.</w:t>
            </w:r>
          </w:p>
        </w:tc>
      </w:tr>
      <w:tr>
        <w:tc>
          <w:tcPr>
            <w:tcW w:type="dxa" w:w="3120"/>
          </w:tcPr>
          <w:p>
            <w:r>
              <w:rPr>
                <w:sz w:val="18"/>
              </w:rPr>
              <w:t>Contexto da edificação</w:t>
            </w:r>
          </w:p>
        </w:tc>
        <w:tc>
          <w:tcPr>
            <w:tcW w:type="dxa" w:w="3120"/>
          </w:tcPr>
          <w:p>
            <w:r>
              <w:rPr>
                <w:sz w:val="18"/>
              </w:rPr>
              <w:t>Caracterização</w:t>
            </w:r>
          </w:p>
        </w:tc>
        <w:tc>
          <w:tcPr>
            <w:tcW w:type="dxa" w:w="3120"/>
          </w:tcPr>
          <w:p>
            <w:r>
              <w:rPr>
                <w:sz w:val="18"/>
              </w:rPr>
              <w:t>Identificação de universidades, campus, edifícios públicos, escolas, hospitais e outras tipologias.</w:t>
            </w:r>
          </w:p>
        </w:tc>
      </w:tr>
      <w:tr>
        <w:tc>
          <w:tcPr>
            <w:tcW w:type="dxa" w:w="3120"/>
          </w:tcPr>
          <w:p>
            <w:r>
              <w:rPr>
                <w:sz w:val="18"/>
              </w:rPr>
              <w:t>Escopo externo ao ambiente construído</w:t>
            </w:r>
          </w:p>
        </w:tc>
        <w:tc>
          <w:tcPr>
            <w:tcW w:type="dxa" w:w="3120"/>
          </w:tcPr>
          <w:p>
            <w:r>
              <w:rPr>
                <w:sz w:val="18"/>
              </w:rPr>
              <w:t>Exclusão</w:t>
            </w:r>
          </w:p>
        </w:tc>
        <w:tc>
          <w:tcPr>
            <w:tcW w:type="dxa" w:w="3120"/>
          </w:tcPr>
          <w:p>
            <w:r>
              <w:rPr>
                <w:sz w:val="18"/>
              </w:rPr>
              <w:t>Aplicações industriais, transporte, infraestrutura linear ou materiais sem relação com operação e manutenção de edificações.</w:t>
            </w:r>
          </w:p>
        </w:tc>
      </w:tr>
      <w:tr>
        <w:tc>
          <w:tcPr>
            <w:tcW w:type="dxa" w:w="3120"/>
          </w:tcPr>
          <w:p>
            <w:r>
              <w:rPr>
                <w:sz w:val="18"/>
              </w:rPr>
              <w:t>Duplicidade</w:t>
            </w:r>
          </w:p>
        </w:tc>
        <w:tc>
          <w:tcPr>
            <w:tcW w:type="dxa" w:w="3120"/>
          </w:tcPr>
          <w:p>
            <w:r>
              <w:rPr>
                <w:sz w:val="18"/>
              </w:rPr>
              <w:t>Consolidação</w:t>
            </w:r>
          </w:p>
        </w:tc>
        <w:tc>
          <w:tcPr>
            <w:tcW w:type="dxa" w:w="3120"/>
          </w:tcPr>
          <w:p>
            <w:r>
              <w:rPr>
                <w:sz w:val="18"/>
              </w:rPr>
              <w:t>Fusão por DOI normalizado ou título normalizado, com preservação das bases e consultas de origem.</w:t>
            </w:r>
          </w:p>
        </w:tc>
      </w:tr>
    </w:tbl>
    <w:p/>
    <w:bookmarkEnd w:id="22"/>
    <w:bookmarkStart w:id="23" w:name="X961280b3a45a67e41e71da47b94b36fd32344d7"/>
    <w:p>
      <w:pPr>
        <w:pStyle w:val="Heading2"/>
      </w:pPr>
      <w:r>
        <w:t xml:space="preserve">Deduplicação e preservação da proveniência</w:t>
      </w:r>
    </w:p>
    <w:p>
      <w:pPr>
        <w:pStyle w:val="FirstParagraph"/>
      </w:pPr>
      <w:r>
        <w:t xml:space="preserve">A deduplicação foi executada após a padronização dos metadados das três fontes. O DOI foi convertido para minúsculas, com remoção dos prefixos de URL ou</w:t>
      </w:r>
      <w:r>
        <w:t xml:space="preserve"> </w:t>
      </w:r>
      <w:r>
        <w:rPr>
          <w:rStyle w:val="VerbatimChar"/>
        </w:rPr>
        <w:t xml:space="preserve">doi:</w:t>
      </w:r>
      <w:r>
        <w:t xml:space="preserve">, espaços e ponto final. O título foi convertido para minúsculas, decomposto para remoção de acentos, privado de pontuação e normalizado quanto aos espaços; títulos com menos de oito caracteres não foram usados para agrupamento. Essa preparação foi adaptada dos problemas de interoperabilidade documentados por</w:t>
      </w:r>
      <w:r>
        <w:t xml:space="preserve"> </w:t>
      </w:r>
      <w:r>
        <w:t xml:space="preserve">Rathbone et al. (2015)</w:t>
      </w:r>
      <w:r>
        <w:t xml:space="preserve">, incluindo variações de pontuação, acentuação, abreviação e completude dos campos bibliográficos; não se adotou o algoritmo SRA-DM descrito pelos autores.</w:t>
      </w:r>
    </w:p>
    <w:p>
      <w:pPr>
        <w:pStyle w:val="BodyText"/>
      </w:pPr>
      <w:r>
        <w:t xml:space="preserve">Registros com o mesmo DOI normalizado foram agrupados. Na ausência de DOI, títulos normalizados idênticos foram agrupados somente quando não havia conflito entre DOIs presentes ou entre identificadores próprios da mesma fonte. Em caso de conflito, os registros permaneceram separados. A hierarquia entre identificador persistente e campos bibliográficos, assim como a decisão conservadora de não fundir registros potencialmente distintos, foi adaptada da abordagem baseada em regras de</w:t>
      </w:r>
      <w:r>
        <w:t xml:space="preserve"> </w:t>
      </w:r>
      <w:r>
        <w:t xml:space="preserve">Jiang et al. (2014)</w:t>
      </w:r>
      <w:r>
        <w:t xml:space="preserve">, que compara DOI, título, periódico, autores e ano diante de inconsistências entre bases. O procedimento desta revisão foi mais restritivo por exigir igualdade do DOI normalizado ou, na sua ausência, igualdade do título normalizado sem conflito de identificadores. Para cada grupo fundido, foram preservados bases de origem, consultas de origem e identificadores brutos; o resumo mais longo disponível foi mantido e os demais metadados foram selecionados por completude e prioridade de fonte.</w:t>
      </w:r>
    </w:p>
    <w:p>
      <w:pPr>
        <w:pStyle w:val="BodyText"/>
      </w:pPr>
      <w:r>
        <w:t xml:space="preserve">A Tabela </w:t>
      </w:r>
      <w:hyperlink w:anchor="tab:deduplicacao">
        <w:r>
          <w:rPr>
            <w:rStyle w:val="Hyperlink"/>
          </w:rPr>
          <w:t xml:space="preserve">5</w:t>
        </w:r>
      </w:hyperlink>
      <w:r>
        <w:t xml:space="preserve"> </w:t>
      </w:r>
      <w:r>
        <w:t xml:space="preserve">apresenta os resultados e os controles conservadores da deduplicação.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Indicador</w:t>
            </w:r>
          </w:p>
        </w:tc>
        <w:tc>
          <w:tcPr>
            <w:tcW w:type="dxa" w:w="3120"/>
          </w:tcPr>
          <w:p>
            <w:r>
              <w:rPr>
                <w:b/>
                <w:sz w:val="18"/>
              </w:rPr>
              <w:t>Total</w:t>
            </w:r>
          </w:p>
        </w:tc>
        <w:tc>
          <w:tcPr>
            <w:tcW w:type="dxa" w:w="3120"/>
          </w:tcPr>
          <w:p>
            <w:r>
              <w:rPr>
                <w:b/>
                <w:sz w:val="18"/>
              </w:rPr>
              <w:t>Interpretação</w:t>
            </w:r>
          </w:p>
        </w:tc>
      </w:tr>
      <w:tr>
        <w:tc>
          <w:tcPr>
            <w:tcW w:type="dxa" w:w="3120"/>
          </w:tcPr>
          <w:p>
            <w:r>
              <w:rPr>
                <w:sz w:val="18"/>
              </w:rPr>
              <w:t>Registros brutos normalizados</w:t>
            </w:r>
          </w:p>
        </w:tc>
        <w:tc>
          <w:tcPr>
            <w:tcW w:type="dxa" w:w="3120"/>
          </w:tcPr>
          <w:p>
            <w:r>
              <w:rPr>
                <w:sz w:val="18"/>
              </w:rPr>
              <w:t>12.118</w:t>
            </w:r>
          </w:p>
        </w:tc>
        <w:tc>
          <w:tcPr>
            <w:tcW w:type="dxa" w:w="3120"/>
          </w:tcPr>
          <w:p>
            <w:r>
              <w:rPr>
                <w:sz w:val="18"/>
              </w:rPr>
              <w:t>Uma linha por ocorrência recuperada antes da deduplicação.</w:t>
            </w:r>
          </w:p>
        </w:tc>
      </w:tr>
      <w:tr>
        <w:tc>
          <w:tcPr>
            <w:tcW w:type="dxa" w:w="3120"/>
          </w:tcPr>
          <w:p>
            <w:r>
              <w:rPr>
                <w:sz w:val="18"/>
              </w:rPr>
              <w:t>Registros únicos</w:t>
            </w:r>
          </w:p>
        </w:tc>
        <w:tc>
          <w:tcPr>
            <w:tcW w:type="dxa" w:w="3120"/>
          </w:tcPr>
          <w:p>
            <w:r>
              <w:rPr>
                <w:sz w:val="18"/>
              </w:rPr>
              <w:t>9.542</w:t>
            </w:r>
          </w:p>
        </w:tc>
        <w:tc>
          <w:tcPr>
            <w:tcW w:type="dxa" w:w="3120"/>
          </w:tcPr>
          <w:p>
            <w:r>
              <w:rPr>
                <w:sz w:val="18"/>
              </w:rPr>
              <w:t>Uma linha por grupo consolidado.</w:t>
            </w:r>
          </w:p>
        </w:tc>
      </w:tr>
      <w:tr>
        <w:tc>
          <w:tcPr>
            <w:tcW w:type="dxa" w:w="3120"/>
          </w:tcPr>
          <w:p>
            <w:r>
              <w:rPr>
                <w:sz w:val="18"/>
              </w:rPr>
              <w:t>Ocorrências removidas</w:t>
            </w:r>
          </w:p>
        </w:tc>
        <w:tc>
          <w:tcPr>
            <w:tcW w:type="dxa" w:w="3120"/>
          </w:tcPr>
          <w:p>
            <w:r>
              <w:rPr>
                <w:sz w:val="18"/>
              </w:rPr>
              <w:t>2.576</w:t>
            </w:r>
          </w:p>
        </w:tc>
        <w:tc>
          <w:tcPr>
            <w:tcW w:type="dxa" w:w="3120"/>
          </w:tcPr>
          <w:p>
            <w:r>
              <w:rPr>
                <w:sz w:val="18"/>
              </w:rPr>
              <w:t>Diferença entre registros brutos e únicos.</w:t>
            </w:r>
          </w:p>
        </w:tc>
      </w:tr>
      <w:tr>
        <w:tc>
          <w:tcPr>
            <w:tcW w:type="dxa" w:w="3120"/>
          </w:tcPr>
          <w:p>
            <w:r>
              <w:rPr>
                <w:sz w:val="18"/>
              </w:rPr>
              <w:t>Grupos com duplicidade</w:t>
            </w:r>
          </w:p>
        </w:tc>
        <w:tc>
          <w:tcPr>
            <w:tcW w:type="dxa" w:w="3120"/>
          </w:tcPr>
          <w:p>
            <w:r>
              <w:rPr>
                <w:sz w:val="18"/>
              </w:rPr>
              <w:t>1.808</w:t>
            </w:r>
          </w:p>
        </w:tc>
        <w:tc>
          <w:tcPr>
            <w:tcW w:type="dxa" w:w="3120"/>
          </w:tcPr>
          <w:p>
            <w:r>
              <w:rPr>
                <w:sz w:val="18"/>
              </w:rPr>
              <w:t>1.635 agrupados por DOI e 173 apenas por título normalizado.</w:t>
            </w:r>
          </w:p>
        </w:tc>
      </w:tr>
      <w:tr>
        <w:tc>
          <w:tcPr>
            <w:tcW w:type="dxa" w:w="3120"/>
          </w:tcPr>
          <w:p>
            <w:r>
              <w:rPr>
                <w:sz w:val="18"/>
              </w:rPr>
              <w:t>Registros únicos com DOI</w:t>
            </w:r>
          </w:p>
        </w:tc>
        <w:tc>
          <w:tcPr>
            <w:tcW w:type="dxa" w:w="3120"/>
          </w:tcPr>
          <w:p>
            <w:r>
              <w:rPr>
                <w:sz w:val="18"/>
              </w:rPr>
              <w:t>8.264</w:t>
            </w:r>
          </w:p>
        </w:tc>
        <w:tc>
          <w:tcPr>
            <w:tcW w:type="dxa" w:w="3120"/>
          </w:tcPr>
          <w:p>
            <w:r>
              <w:rPr>
                <w:sz w:val="18"/>
              </w:rPr>
              <w:t>DOI presente após consolidação.</w:t>
            </w:r>
          </w:p>
        </w:tc>
      </w:tr>
      <w:tr>
        <w:tc>
          <w:tcPr>
            <w:tcW w:type="dxa" w:w="3120"/>
          </w:tcPr>
          <w:p>
            <w:r>
              <w:rPr>
                <w:sz w:val="18"/>
              </w:rPr>
              <w:t>Registros únicos sem DOI</w:t>
            </w:r>
          </w:p>
        </w:tc>
        <w:tc>
          <w:tcPr>
            <w:tcW w:type="dxa" w:w="3120"/>
          </w:tcPr>
          <w:p>
            <w:r>
              <w:rPr>
                <w:sz w:val="18"/>
              </w:rPr>
              <w:t>1.278</w:t>
            </w:r>
          </w:p>
        </w:tc>
        <w:tc>
          <w:tcPr>
            <w:tcW w:type="dxa" w:w="3120"/>
          </w:tcPr>
          <w:p>
            <w:r>
              <w:rPr>
                <w:sz w:val="18"/>
              </w:rPr>
              <w:t>Dependem de título e identificadores para controle de duplicidade.</w:t>
            </w:r>
          </w:p>
        </w:tc>
      </w:tr>
      <w:tr>
        <w:tc>
          <w:tcPr>
            <w:tcW w:type="dxa" w:w="3120"/>
          </w:tcPr>
          <w:p>
            <w:r>
              <w:rPr>
                <w:sz w:val="18"/>
              </w:rPr>
              <w:t>Conflitos preservados</w:t>
            </w:r>
          </w:p>
        </w:tc>
        <w:tc>
          <w:tcPr>
            <w:tcW w:type="dxa" w:w="3120"/>
          </w:tcPr>
          <w:p>
            <w:r>
              <w:rPr>
                <w:sz w:val="18"/>
              </w:rPr>
              <w:t>98</w:t>
            </w:r>
          </w:p>
        </w:tc>
        <w:tc>
          <w:tcPr>
            <w:tcW w:type="dxa" w:w="3120"/>
          </w:tcPr>
          <w:p>
            <w:r>
              <w:rPr>
                <w:sz w:val="18"/>
              </w:rPr>
              <w:t>51 por DOI divergente e 47 por identificador próprio divergente; não foram mesclados.</w:t>
            </w:r>
          </w:p>
        </w:tc>
      </w:tr>
    </w:tbl>
    <w:p/>
    <w:p>
      <w:pPr>
        <w:pStyle w:val="BodyText"/>
      </w:pPr>
      <w:r>
        <w:t xml:space="preserve">A rotina não usa similaridade aproximada de títulos e não estabelece vínculo automático entre trabalho em evento e artigo posterior quando os identificadores diferem. Os conflitos detectados foram preservados como registros separados.</w:t>
      </w:r>
    </w:p>
    <w:p>
      <w:pPr>
        <w:pStyle w:val="BodyText"/>
      </w:pPr>
      <w:r>
        <w:t xml:space="preserve">A coleta produziu 12.118 registros brutos: 9.433 recuperados pela API da Scopus, cinco registros existentes apenas no export manual da Scopus, 1.680 da Web of Science e 1.000 do Crossref. A deduplicação por DOI normalizado e título normalizado removeu 2.576 ocorrências repetidas e resultou em 9.542 registros únicos, com preservação da proveniência.</w:t>
      </w:r>
    </w:p>
    <w:bookmarkEnd w:id="23"/>
    <w:bookmarkStart w:id="24" w:name="X1a0c56458ef353c636b255008dfc2175e1ceed4"/>
    <w:p>
      <w:pPr>
        <w:pStyle w:val="Heading2"/>
      </w:pPr>
      <w:r>
        <w:t xml:space="preserve">Triagem, auditoria e consolidação do núcleo</w:t>
      </w:r>
    </w:p>
    <w:p>
      <w:pPr>
        <w:pStyle w:val="FirstParagraph"/>
      </w:pPr>
      <w:r>
        <w:t xml:space="preserve">A pré-triagem dos 9.542 registros foi uma classificação automática determinística, sem uso de modelo de linguagem, baseada no casamento de expressões em título e resumo. O script atribuiu cinco classes: relevante, complementar, dúvida, irrelevante e sem resumo. Para aferir essa classificação, foi sorteada, com semente 42, uma amostra estratificada de 100 registros, equivalente a 1,0% do corpus único. Um único avaliador leu individualmente título e resumo e alterou 34 classificações; os outros 9.442 registros não foram lidos individualmente nessa auditoria amostral.</w:t>
      </w:r>
    </w:p>
    <w:p>
      <w:pPr>
        <w:pStyle w:val="BodyText"/>
      </w:pPr>
      <w:r>
        <w:t xml:space="preserve">O corte inicial reteve 3.786 registros: 3.472 classificados como relevantes e 314 casos de dúvida com apenas o bloco de objeto predial presente. Depois, uma tabela preservou decisões registro a registro para os 4.276 casos de dúvida: 206 foram marcados como relevantes e 4.070 como descarte. Um script R apenas validou e aplicou essas decisões por</w:t>
      </w:r>
      <w:r>
        <w:t xml:space="preserve"> </w:t>
      </w:r>
      <w:r>
        <w:rPr>
          <w:rStyle w:val="VerbatimChar"/>
        </w:rPr>
        <w:t xml:space="preserve">id_unico</w:t>
      </w:r>
      <w:r>
        <w:t xml:space="preserve">, sem refazer a triagem. A documentação disponível preserva as decisões, regras, confiança e justificativas, mas não registra revisão independente nem procedimento de resolução de divergências entre avaliadores. O resultado foi um núcleo analítico revisado de 3.678 registros.</w:t>
      </w:r>
    </w:p>
    <w:p>
      <w:pPr>
        <w:pStyle w:val="BodyText"/>
      </w:pPr>
      <w:r>
        <w:t xml:space="preserve">Os 3.678 registros foram submetidos a duas camadas determinísticas em R, ambas sem modelo de linguagem e sem leitura de texto completo. A primeira reavaliou a força dos resumos e classificou 372 registros como núcleo forte, 830 como descritivos, 157 como contextuais e 2.319 como descarte. A segunda pontuou o alinhamento às perguntas de pesquisa em título, resumo, palavras-chave e campos extraídos: 137 foram classificados como centrais, 651 como secundários, 375 como descritivos, 157 como contextuais e 2.358 como exclusão. Assim, 137 registros seguiram para auditoria qualitativa e 3.541 não foram selecionados para a análise central.</w:t>
      </w:r>
    </w:p>
    <w:p>
      <w:pPr>
        <w:pStyle w:val="BodyText"/>
      </w:pPr>
      <w:r>
        <w:t xml:space="preserve">A auditoria qualitativa estruturada examinou, registro a registro, título, resumo, palavras-chave e campos extraídos dos 137 estudos, sem leitura integral. Um único conjunto de decisões manteve 104 no núcleo principal; entre os 33 restantes, 21 foram classificados como secundários, três apenas para mapeamento e nove foram excluídos. Um desses nove havia sido marcado para verificação pontual em texto completo e foi posteriormente descartado sem leitura integral. Não houve segundo avaliador independente. Os arquivos da auditoria não identificam ferramenta de inteligência artificial, modelo, versão ou prompt; por isso, não se atribui essa etapa a IA. A coluna</w:t>
      </w:r>
      <w:r>
        <w:t xml:space="preserve"> </w:t>
      </w:r>
      <w:r>
        <w:rPr>
          <w:rStyle w:val="VerbatimChar"/>
        </w:rPr>
        <w:t xml:space="preserve">asreview_label_compativel</w:t>
      </w:r>
      <w:r>
        <w:t xml:space="preserve"> </w:t>
      </w:r>
      <w:r>
        <w:t xml:space="preserve">é apenas um campo de compatibilidade e não constitui evidência de uso do ASReview. A Tabela </w:t>
      </w:r>
      <w:hyperlink w:anchor="tab:funilselecao">
        <w:r>
          <w:rPr>
            <w:rStyle w:val="Hyperlink"/>
          </w:rPr>
          <w:t xml:space="preserve">6</w:t>
        </w:r>
      </w:hyperlink>
      <w:r>
        <w:t xml:space="preserve"> </w:t>
      </w:r>
      <w:r>
        <w:t xml:space="preserve">preserva a rastreabilidade detalhada da busca principal até o núcleo original de 104 registros. A Figura </w:t>
      </w:r>
      <w:hyperlink w:anchor="fig:funil">
        <w:r>
          <w:rPr>
            <w:rStyle w:val="Hyperlink"/>
          </w:rPr>
          <w:t xml:space="preserve">1</w:t>
        </w:r>
      </w:hyperlink>
      <w:r>
        <w:t xml:space="preserve"> </w:t>
      </w:r>
      <w:r>
        <w:t xml:space="preserve">integra esse percurso à busca complementar de sensibilidade e explicita a convergência no núcleo temático vigente de 121 registros.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70"/>
        <w:gridCol w:w="1170"/>
        <w:gridCol w:w="1170"/>
        <w:gridCol w:w="1170"/>
        <w:gridCol w:w="1170"/>
        <w:gridCol w:w="1170"/>
        <w:gridCol w:w="1170"/>
        <w:gridCol w:w="1170"/>
      </w:tblGrid>
      <w:tr>
        <w:tc>
          <w:tcPr>
            <w:tcW w:type="dxa" w:w="1170"/>
          </w:tcPr>
          <w:p>
            <w:r>
              <w:rPr>
                <w:b/>
                <w:sz w:val="18"/>
              </w:rPr>
              <w:t>Etapa</w:t>
            </w:r>
          </w:p>
        </w:tc>
        <w:tc>
          <w:tcPr>
            <w:tcW w:type="dxa" w:w="1170"/>
          </w:tcPr>
          <w:p>
            <w:r>
              <w:rPr>
                <w:b/>
                <w:sz w:val="18"/>
              </w:rPr>
              <w:t>Entrada</w:t>
            </w:r>
          </w:p>
        </w:tc>
        <w:tc>
          <w:tcPr>
            <w:tcW w:type="dxa" w:w="1170"/>
          </w:tcPr>
          <w:p>
            <w:r>
              <w:rPr>
                <w:b/>
                <w:sz w:val="18"/>
              </w:rPr>
              <w:t>Procedimento</w:t>
            </w:r>
          </w:p>
        </w:tc>
        <w:tc>
          <w:tcPr>
            <w:tcW w:type="dxa" w:w="1170"/>
          </w:tcPr>
          <w:p>
            <w:r>
              <w:rPr>
                <w:b/>
                <w:sz w:val="18"/>
              </w:rPr>
              <w:t>Critério</w:t>
            </w:r>
          </w:p>
        </w:tc>
        <w:tc>
          <w:tcPr>
            <w:tcW w:type="dxa" w:w="1170"/>
          </w:tcPr>
          <w:p>
            <w:r>
              <w:rPr>
                <w:b/>
                <w:sz w:val="18"/>
              </w:rPr>
              <w:t>Responsável</w:t>
            </w:r>
          </w:p>
        </w:tc>
        <w:tc>
          <w:tcPr>
            <w:tcW w:type="dxa" w:w="1170"/>
          </w:tcPr>
          <w:p>
            <w:r>
              <w:rPr>
                <w:b/>
                <w:sz w:val="18"/>
              </w:rPr>
              <w:t>Incluídos</w:t>
            </w:r>
          </w:p>
        </w:tc>
        <w:tc>
          <w:tcPr>
            <w:tcW w:type="dxa" w:w="1170"/>
          </w:tcPr>
          <w:p>
            <w:r>
              <w:rPr>
                <w:b/>
                <w:sz w:val="18"/>
              </w:rPr>
              <w:t>Não retidos</w:t>
            </w:r>
          </w:p>
        </w:tc>
        <w:tc>
          <w:tcPr>
            <w:tcW w:type="dxa" w:w="1170"/>
          </w:tcPr>
          <w:p>
            <w:r>
              <w:rPr>
                <w:b/>
                <w:sz w:val="18"/>
              </w:rPr>
              <w:t>Motivos</w:t>
            </w:r>
          </w:p>
        </w:tc>
      </w:tr>
      <w:tr>
        <w:tc>
          <w:tcPr>
            <w:tcW w:type="dxa" w:w="1170"/>
          </w:tcPr>
          <w:p>
            <w:r>
              <w:rPr>
                <w:sz w:val="18"/>
              </w:rPr>
              <w:t>Coleta e deduplicação</w:t>
            </w:r>
          </w:p>
        </w:tc>
        <w:tc>
          <w:tcPr>
            <w:tcW w:type="dxa" w:w="1170"/>
          </w:tcPr>
          <w:p>
            <w:r>
              <w:rPr>
                <w:sz w:val="18"/>
              </w:rPr>
              <w:t>12.118</w:t>
            </w:r>
          </w:p>
        </w:tc>
        <w:tc>
          <w:tcPr>
            <w:tcW w:type="dxa" w:w="1170"/>
          </w:tcPr>
          <w:p>
            <w:r>
              <w:rPr>
                <w:sz w:val="18"/>
              </w:rPr>
              <w:t>Normalização e agrupamento por DOI ou título, com proveniência preservada.</w:t>
            </w:r>
          </w:p>
        </w:tc>
        <w:tc>
          <w:tcPr>
            <w:tcW w:type="dxa" w:w="1170"/>
          </w:tcPr>
          <w:p>
            <w:r>
              <w:rPr>
                <w:sz w:val="18"/>
              </w:rPr>
              <w:t>DOI normalizado; na ausência, título normalizado sem conflito de identificador.</w:t>
            </w:r>
          </w:p>
        </w:tc>
        <w:tc>
          <w:tcPr>
            <w:tcW w:type="dxa" w:w="1170"/>
          </w:tcPr>
          <w:p>
            <w:r>
              <w:rPr>
                <w:sz w:val="18"/>
              </w:rPr>
              <w:t>Script Python.</w:t>
            </w:r>
          </w:p>
        </w:tc>
        <w:tc>
          <w:tcPr>
            <w:tcW w:type="dxa" w:w="1170"/>
          </w:tcPr>
          <w:p>
            <w:r>
              <w:rPr>
                <w:sz w:val="18"/>
              </w:rPr>
              <w:t>9.542</w:t>
            </w:r>
          </w:p>
        </w:tc>
        <w:tc>
          <w:tcPr>
            <w:tcW w:type="dxa" w:w="1170"/>
          </w:tcPr>
          <w:p>
            <w:r>
              <w:rPr>
                <w:sz w:val="18"/>
              </w:rPr>
              <w:t>2.576</w:t>
            </w:r>
          </w:p>
        </w:tc>
        <w:tc>
          <w:tcPr>
            <w:tcW w:type="dxa" w:w="1170"/>
          </w:tcPr>
          <w:p>
            <w:r>
              <w:rPr>
                <w:sz w:val="18"/>
              </w:rPr>
              <w:t>Ocorrências duplicadas entre bases ou consultas.</w:t>
            </w:r>
          </w:p>
        </w:tc>
      </w:tr>
      <w:tr>
        <w:tc>
          <w:tcPr>
            <w:tcW w:type="dxa" w:w="1170"/>
          </w:tcPr>
          <w:p>
            <w:r>
              <w:rPr>
                <w:sz w:val="18"/>
              </w:rPr>
              <w:t>Pré-triagem e resolução</w:t>
            </w:r>
          </w:p>
        </w:tc>
        <w:tc>
          <w:tcPr>
            <w:tcW w:type="dxa" w:w="1170"/>
          </w:tcPr>
          <w:p>
            <w:r>
              <w:rPr>
                <w:sz w:val="18"/>
              </w:rPr>
              <w:t>9.542</w:t>
            </w:r>
          </w:p>
        </w:tc>
        <w:tc>
          <w:tcPr>
            <w:tcW w:type="dxa" w:w="1170"/>
          </w:tcPr>
          <w:p>
            <w:r>
              <w:rPr>
                <w:sz w:val="18"/>
              </w:rPr>
              <w:t>Regras em título e resumo; auditoria de 100; corte inicial de 3.786; decisão dos 4.276 casos de dúvida.</w:t>
            </w:r>
          </w:p>
        </w:tc>
        <w:tc>
          <w:tcPr>
            <w:tcW w:type="dxa" w:w="1170"/>
          </w:tcPr>
          <w:p>
            <w:r>
              <w:rPr>
                <w:sz w:val="18"/>
              </w:rPr>
              <w:t>Classe relevante ou decisão revisada RELEVANTE.</w:t>
            </w:r>
          </w:p>
        </w:tc>
        <w:tc>
          <w:tcPr>
            <w:tcW w:type="dxa" w:w="1170"/>
          </w:tcPr>
          <w:p>
            <w:r>
              <w:rPr>
                <w:sz w:val="18"/>
              </w:rPr>
              <w:t>Scripts Python/R; avaliador único na amostra; tabela de decisão.</w:t>
            </w:r>
          </w:p>
        </w:tc>
        <w:tc>
          <w:tcPr>
            <w:tcW w:type="dxa" w:w="1170"/>
          </w:tcPr>
          <w:p>
            <w:r>
              <w:rPr>
                <w:sz w:val="18"/>
              </w:rPr>
              <w:t>3.678</w:t>
            </w:r>
          </w:p>
        </w:tc>
        <w:tc>
          <w:tcPr>
            <w:tcW w:type="dxa" w:w="1170"/>
          </w:tcPr>
          <w:p>
            <w:r>
              <w:rPr>
                <w:sz w:val="18"/>
              </w:rPr>
              <w:t>5.864</w:t>
            </w:r>
          </w:p>
        </w:tc>
        <w:tc>
          <w:tcPr>
            <w:tcW w:type="dxa" w:w="1170"/>
          </w:tcPr>
          <w:p>
            <w:r>
              <w:rPr>
                <w:sz w:val="18"/>
              </w:rPr>
              <w:t>4.070 dúvidas descartadas; 796 irrelevantes; 566 sem resumo; 432 complementares.</w:t>
            </w:r>
          </w:p>
        </w:tc>
      </w:tr>
      <w:tr>
        <w:tc>
          <w:tcPr>
            <w:tcW w:type="dxa" w:w="1170"/>
          </w:tcPr>
          <w:p>
            <w:r>
              <w:rPr>
                <w:sz w:val="18"/>
              </w:rPr>
              <w:t>Alinhamento às RQs</w:t>
            </w:r>
          </w:p>
        </w:tc>
        <w:tc>
          <w:tcPr>
            <w:tcW w:type="dxa" w:w="1170"/>
          </w:tcPr>
          <w:p>
            <w:r>
              <w:rPr>
                <w:sz w:val="18"/>
              </w:rPr>
              <w:t>3.678</w:t>
            </w:r>
          </w:p>
        </w:tc>
        <w:tc>
          <w:tcPr>
            <w:tcW w:type="dxa" w:w="1170"/>
          </w:tcPr>
          <w:p>
            <w:r>
              <w:rPr>
                <w:sz w:val="18"/>
              </w:rPr>
              <w:t>Pontuação determinística de aderência às RQs e força do resumo.</w:t>
            </w:r>
          </w:p>
        </w:tc>
        <w:tc>
          <w:tcPr>
            <w:tcW w:type="dxa" w:w="1170"/>
          </w:tcPr>
          <w:p>
            <w:r>
              <w:rPr>
                <w:sz w:val="18"/>
              </w:rPr>
              <w:t>Sinais de objeto, manutenção, sustentabilidade, decisão e contexto; sem exclusão forte.</w:t>
            </w:r>
          </w:p>
        </w:tc>
        <w:tc>
          <w:tcPr>
            <w:tcW w:type="dxa" w:w="1170"/>
          </w:tcPr>
          <w:p>
            <w:r>
              <w:rPr>
                <w:sz w:val="18"/>
              </w:rPr>
              <w:t>Scripts R; regras aprovadas pelo pesquisador.</w:t>
            </w:r>
          </w:p>
        </w:tc>
        <w:tc>
          <w:tcPr>
            <w:tcW w:type="dxa" w:w="1170"/>
          </w:tcPr>
          <w:p>
            <w:r>
              <w:rPr>
                <w:sz w:val="18"/>
              </w:rPr>
              <w:t>137</w:t>
            </w:r>
          </w:p>
        </w:tc>
        <w:tc>
          <w:tcPr>
            <w:tcW w:type="dxa" w:w="1170"/>
          </w:tcPr>
          <w:p>
            <w:r>
              <w:rPr>
                <w:sz w:val="18"/>
              </w:rPr>
              <w:t>3.541</w:t>
            </w:r>
          </w:p>
        </w:tc>
        <w:tc>
          <w:tcPr>
            <w:tcW w:type="dxa" w:w="1170"/>
          </w:tcPr>
          <w:p>
            <w:r>
              <w:rPr>
                <w:sz w:val="18"/>
              </w:rPr>
              <w:t>Uso secundário, descritivo, contextual ou exclusão da análise central.</w:t>
            </w:r>
          </w:p>
        </w:tc>
      </w:tr>
      <w:tr>
        <w:tc>
          <w:tcPr>
            <w:tcW w:type="dxa" w:w="1170"/>
          </w:tcPr>
          <w:p>
            <w:r>
              <w:rPr>
                <w:sz w:val="18"/>
              </w:rPr>
              <w:t>Auditoria qualitativa</w:t>
            </w:r>
          </w:p>
        </w:tc>
        <w:tc>
          <w:tcPr>
            <w:tcW w:type="dxa" w:w="1170"/>
          </w:tcPr>
          <w:p>
            <w:r>
              <w:rPr>
                <w:sz w:val="18"/>
              </w:rPr>
              <w:t>137</w:t>
            </w:r>
          </w:p>
        </w:tc>
        <w:tc>
          <w:tcPr>
            <w:tcW w:type="dxa" w:w="1170"/>
          </w:tcPr>
          <w:p>
            <w:r>
              <w:rPr>
                <w:sz w:val="18"/>
              </w:rPr>
              <w:t>Auditoria estruturada de título, resumo, palavras-chave e campos extraídos.</w:t>
            </w:r>
          </w:p>
        </w:tc>
        <w:tc>
          <w:tcPr>
            <w:tcW w:type="dxa" w:w="1170"/>
          </w:tcPr>
          <w:p>
            <w:r>
              <w:rPr>
                <w:sz w:val="18"/>
              </w:rPr>
              <w:t>Aderência ao núcleo principal e suficiência documental.</w:t>
            </w:r>
          </w:p>
        </w:tc>
        <w:tc>
          <w:tcPr>
            <w:tcW w:type="dxa" w:w="1170"/>
          </w:tcPr>
          <w:p>
            <w:r>
              <w:rPr>
                <w:sz w:val="18"/>
              </w:rPr>
              <w:t>Avaliador único, sem revisão independente.</w:t>
            </w:r>
          </w:p>
        </w:tc>
        <w:tc>
          <w:tcPr>
            <w:tcW w:type="dxa" w:w="1170"/>
          </w:tcPr>
          <w:p>
            <w:r>
              <w:rPr>
                <w:sz w:val="18"/>
              </w:rPr>
              <w:t>104</w:t>
            </w:r>
          </w:p>
        </w:tc>
        <w:tc>
          <w:tcPr>
            <w:tcW w:type="dxa" w:w="1170"/>
          </w:tcPr>
          <w:p>
            <w:r>
              <w:rPr>
                <w:sz w:val="18"/>
              </w:rPr>
              <w:t>33</w:t>
            </w:r>
          </w:p>
        </w:tc>
        <w:tc>
          <w:tcPr>
            <w:tcW w:type="dxa" w:w="1170"/>
          </w:tcPr>
          <w:p>
            <w:r>
              <w:rPr>
                <w:sz w:val="18"/>
              </w:rPr>
              <w:t>21 secundários; 3 apenas mapeamento; 9 excluídos, incluindo 1 pendência de texto completo descartada.</w:t>
            </w:r>
          </w:p>
        </w:tc>
      </w:tr>
    </w:tbl>
    <w:p/>
    <w:tbl>
      <w:tblPr>
        <w:tblStyle w:val="FigureTable"/>
        <w:tblW w:type="auto" w:w="0"/>
        <w:tblLook w:firstRow="0" w:lastRow="0" w:firstColumn="0" w:lastColumn="0"/>
        <w:jc w:val="center"/>
      </w:tblPr>
      <w:tblGrid/>
      <w:tr/>
    </w:tbl>
    <w:p>
      <w:pPr>
        <w:jc w:val="center"/>
      </w:pPr>
      <w:r>
        <w:drawing>
          <wp:inline>
            <wp:extent cx="5669280" cy="2752897"/>
            <wp:docPr id="59" name="Picture 59"/>
            <wp:cNvGraphicFramePr>
              <a:graphicFrameLocks noChangeAspect="1"/>
            </wp:cNvGraphicFramePr>
            <a:graphic>
              <a:graphicData uri="http://schemas.openxmlformats.org/drawingml/2006/picture">
                <pic:pic>
                  <pic:nvPicPr>
                    <pic:cNvPr id="0" name="figura_tikz_1.png"/>
                    <pic:cNvPicPr/>
                  </pic:nvPicPr>
                  <pic:blipFill>
                    <a:blip r:embed="rId9"/>
                    <a:stretch>
                      <a:fillRect/>
                    </a:stretch>
                  </pic:blipFill>
                  <pic:spPr>
                    <a:xfrm>
                      <a:off x="0" y="0"/>
                      <a:ext cx="5669280" cy="2752897"/>
                    </a:xfrm>
                    <a:prstGeom prst="rect"/>
                  </pic:spPr>
                </pic:pic>
              </a:graphicData>
            </a:graphic>
          </wp:inline>
        </w:drawing>
      </w:r>
    </w:p>
    <w:p>
      <w:pPr>
        <w:pStyle w:val="ImageCaption"/>
      </w:pPr>
      <w:r>
        <w:t xml:space="preserve">Fluxo integrado da busca principal e da busca complementar de sensibilidade</w:t>
      </w:r>
    </w:p>
    <w:p>
      <w:pPr>
        <w:pStyle w:val="BodyText"/>
      </w:pPr>
      <w:r>
        <w:t xml:space="preserve">A avaliação de elegibilidade do núcleo temático original não incluiu leitura de texto completo dos 104 estudos. Título, resumo, palavras-chave e campos extraídos foram a base documental de todas as camadas de triagem e da auditoria qualitativa. Um dos 137 registros havia sido sinalizado para verificação pontual em texto completo e foi excluído sem que essa leitura fosse realizada. A inclusão dos 104 estudos no núcleo original representa, portanto, aderência aos critérios de seleção em nível documental, sem confirmação por elegibilidade em texto completo.</w:t>
      </w:r>
    </w:p>
    <w:p>
      <w:pPr>
        <w:pStyle w:val="BodyText"/>
      </w:pPr>
      <w:r>
        <w:t xml:space="preserve">A síntese permanece predominantemente apoiada em título, resumo, palavras-chave e campos estruturados, em razão do acesso institucional restrito a parte dos periódicos das bases consultadas. Em três tarefas pontuais posteriores, 37 estudos com texto completo disponível foram lidos integralmente; 19 forneceram evidências específicas incorporadas e citadas individualmente. O terceiro lote corresponde aos 17 registros incorporados pela busca de sensibilidade: sete textos integrais abertos puderam ser consultados e cinco acrescentaram resultados quantitativos, desenho de validação ou limitações ausentes do resumo. Esse uso é indicado explicitamente por estudo e não altera a natureza predominantemente documental da seleção, da extração e dos resultados agregados; os dez registros restantes do lote de sensibilidade permanecem caracterizados por título e resumo.</w:t>
      </w:r>
    </w:p>
    <w:p>
      <w:pPr>
        <w:pStyle w:val="BodyText"/>
      </w:pPr>
      <w:r>
        <w:t xml:space="preserve">A extração do núcleo final utilizou título, resumo, palavras-chave e campos estruturados para identificar dimensões de sustentabilidade, critérios de priorização, métodos de apoio à decisão, contexto da edificação, ODS, ESG e lacunas relacionadas a instituições públicas de ensino superior. A unidade de contagem foi o registro único. Campos com múltiplas categorias foram tratados como respostas múltiplas, mantendo um único identificador por estudo em cada categoria. Dimensão e critério são categorias analiticamente distintas: a dimensão é uma categoria-guarda-chuva (técnica-operacional, institucional, ambiental, ciclo de vida, econômica ou social), enquanto o critério é um atributo operacional específico dentro de uma dimensão; por isso, termos como energia, risco, conforto e segurança são contabilizados como critérios de priorização e não duplicam a contagem das seis dimensões-guarda-chuva. As definições, regras de inclusão e exclusão e exemplos de cada categoria estão detalhados em manual de codificação de apoio à extração, mantido no repositório da revisão.</w:t>
      </w:r>
    </w:p>
    <w:bookmarkEnd w:id="24"/>
    <w:bookmarkStart w:id="25" w:name="sec:buscaia"/>
    <w:p>
      <w:pPr>
        <w:pStyle w:val="Heading2"/>
      </w:pPr>
      <w:r>
        <w:t xml:space="preserve">Busca complementar de sensibilidade para inteligência artificial e aprendizado de máquina</w:t>
      </w:r>
    </w:p>
    <w:p>
      <w:pPr>
        <w:pStyle w:val="FirstParagraph"/>
      </w:pPr>
      <w:r>
        <w:t xml:space="preserve">As quatro expressões booleanas do núcleo original (Tabela </w:t>
      </w:r>
      <w:hyperlink w:anchor="tab:estrategiabusca">
        <w:r>
          <w:rPr>
            <w:rStyle w:val="Hyperlink"/>
          </w:rPr>
          <w:t xml:space="preserve">3</w:t>
        </w:r>
      </w:hyperlink>
      <w:r>
        <w:t xml:space="preserve">) recuperaram inteligência artificial (IA) e aprendizado de máquina apenas de forma incidental: nenhuma das questões originalmente formuladas (RQ0 a RQ5) continha dicionário de termos dedicado ao tema, e o método de decisão nomeado mais próximo (RQ3) cobre exclusivamente instrumentos multicritério, como MCDM, AHP e TOPSIS. Para verificar se essa lacuna subestimava a presença do tema no campo, uma busca complementar de sensibilidade foi conduzida nas mesmas três bases, com expressões voltadas explicitamente a IA e aprendizado de máquina aplicados a manutenção e gestão predial, recuperando 3.169 registros na Scopus, 1.559 na Web of Science e 2.000 no Crossref, totalizando 6.728 ocorrências brutas.</w:t>
      </w:r>
    </w:p>
    <w:p>
      <w:pPr>
        <w:pStyle w:val="BodyText"/>
      </w:pPr>
      <w:r>
        <w:t xml:space="preserve">Os registros da busca de sensibilidade foram normalizados no mesmo esquema de campos do núcleo original e deduplicados em cascata: DOI normalizado, identificador próprio de fonte, título normalizado exato e título aproximado com confirmação por ano, autor ou periódico, aplicada intra-base, entre bases e contra o corpus consolidado de 9.542 registros. Do total bruto, 359 já constavam do corpus original e 4.889 registros únicos seguiram para auditoria temática.</w:t>
      </w:r>
    </w:p>
    <w:p>
      <w:pPr>
        <w:pStyle w:val="BodyText"/>
      </w:pPr>
      <w:r>
        <w:t xml:space="preserve">Uma nova pergunta de pesquisa (RQ6), dedicada a IA e aprendizado de máquina, foi formalizada em manual de codificação próprio, com dois níveis de termos: um conjunto que confirma isoladamente uma técnica computacional (por exemplo,</w:t>
      </w:r>
      <w:r>
        <w:t xml:space="preserve"> </w:t>
      </w:r>
      <w:r>
        <w:rPr>
          <w:iCs/>
          <w:i/>
        </w:rPr>
        <w:t xml:space="preserve">machine learning</w:t>
      </w:r>
      <w:r>
        <w:t xml:space="preserve">,</w:t>
      </w:r>
      <w:r>
        <w:t xml:space="preserve"> </w:t>
      </w:r>
      <w:r>
        <w:rPr>
          <w:iCs/>
          <w:i/>
        </w:rPr>
        <w:t xml:space="preserve">neural network</w:t>
      </w:r>
      <w:r>
        <w:t xml:space="preserve">,</w:t>
      </w:r>
      <w:r>
        <w:t xml:space="preserve"> </w:t>
      </w:r>
      <w:r>
        <w:rPr>
          <w:iCs/>
          <w:i/>
        </w:rPr>
        <w:t xml:space="preserve">random forest</w:t>
      </w:r>
      <w:r>
        <w:t xml:space="preserve">,</w:t>
      </w:r>
      <w:r>
        <w:t xml:space="preserve"> </w:t>
      </w:r>
      <w:r>
        <w:rPr>
          <w:iCs/>
          <w:i/>
        </w:rPr>
        <w:t xml:space="preserve">large language model</w:t>
      </w:r>
      <w:r>
        <w:t xml:space="preserve">) e outro de termos ambíguos que exigem contexto adicional e nunca confirmam IA isoladamente (por exemplo, manutenção preditiva, BIM,</w:t>
      </w:r>
      <w:r>
        <w:t xml:space="preserve"> </w:t>
      </w:r>
      <w:r>
        <w:rPr>
          <w:iCs/>
          <w:i/>
        </w:rPr>
        <w:t xml:space="preserve">digital twin</w:t>
      </w:r>
      <w:r>
        <w:t xml:space="preserve">, IoT e</w:t>
      </w:r>
      <w:r>
        <w:t xml:space="preserve"> </w:t>
      </w:r>
      <w:r>
        <w:rPr>
          <w:iCs/>
          <w:i/>
        </w:rPr>
        <w:t xml:space="preserve">decision tree</w:t>
      </w:r>
      <w:r>
        <w:t xml:space="preserve"> </w:t>
      </w:r>
      <w:r>
        <w:t xml:space="preserve">fora de contexto de algoritmo treinado). Essa distinção evita tratar manutenção preditiva, BIM ou</w:t>
      </w:r>
      <w:r>
        <w:t xml:space="preserve"> </w:t>
      </w:r>
      <w:r>
        <w:rPr>
          <w:iCs/>
          <w:i/>
        </w:rPr>
        <w:t xml:space="preserve">digital twin</w:t>
      </w:r>
      <w:r>
        <w:t xml:space="preserve"> </w:t>
      </w:r>
      <w:r>
        <w:t xml:space="preserve">como sinônimos de IA, pois plataformas digitais, modelos treinados e mecanismos de decisão ocupam níveis analíticos distintos</w:t>
      </w:r>
      <w:r>
        <w:t xml:space="preserve"> </w:t>
      </w:r>
      <w:r>
        <w:t xml:space="preserve">(Deng, Menassa, and Kamat 2021; Das 2025)</w:t>
      </w:r>
      <w:r>
        <w:t xml:space="preserve">. Os 4.889 registros foram classificados, sem amostragem, em seis classes de evidência de IA e aprendizado de máquina; os registros sem resumo disponível na fonte (concentrados no Crossref) receberam nível de confiança rebaixado por definição.</w:t>
      </w:r>
    </w:p>
    <w:p>
      <w:pPr>
        <w:pStyle w:val="BodyText"/>
      </w:pPr>
      <w:r>
        <w:t xml:space="preserve">Os registros com aplicação de IA e aprendizado de máquina confirmada foram submetidos ao mesmo critério de elegibilidade do núcleo original (objeto predial e sustentabilidade obrigatórios). Revisão individual de título e resumo removeu, em seguida, oito candidatos cuja aplicação, apesar de tecnicamente confirmada, ocorria em domínio industrial, aeroespacial ou veicular sem relação com edificações. Sete registros já pertencentes ao núcleo original, previamente classificados como secundários ou excluídos por um dicionário que não reconhecia IA, foram reavaliados sob a RQ6: cinco foram promovidos ao núcleo principal e dois permaneceram secundários, por não apresentarem, no resumo disponível, relação explícita com manutenção predial. Ao final, 17 registros passaram a integrar o núcleo temático, elevando-o de 104 para 121 registros, com extração qualitativa de dimensões, critérios, métodos e contexto realizada sob o mesmo vocabulário fechado e os mesmos procedimentos do núcleo original, sem leitura de texto completo.</w:t>
      </w:r>
    </w:p>
    <w:bookmarkEnd w:id="25"/>
    <w:bookmarkEnd w:id="26"/>
    <w:bookmarkStart w:id="39" w:name="sec:bibliometriaampliada"/>
    <w:p>
      <w:pPr>
        <w:pStyle w:val="Heading1"/>
      </w:pPr>
      <w:r>
        <w:t xml:space="preserve">Estrutura bibliométrica do campo</w:t>
      </w:r>
    </w:p>
    <w:p>
      <w:pPr>
        <w:pStyle w:val="FirstParagraph"/>
      </w:pPr>
      <w:r>
        <w:t xml:space="preserve">A camada bibliométrica ampliada utilizou os 372 registros classificados no estrato de núcleo forte. Esse estrato exige aderência simultânea ao objeto predial, à manutenção ou gestão, à sustentabilidade e à presença de método, dados ou resultados, além de resumo suficiente e ausência de sinal forte de exclusão. O conjunto foi utilizado para representar a estrutura do campo; o núcleo de 121 registros (104 do corpus original e 17 incorporados pela busca complementar de sensibilidade para inteligência artificial e aprendizado de máquina, Seção </w:t>
      </w:r>
      <w:hyperlink w:anchor="sec:buscaia">
        <w:r>
          <w:rPr>
            <w:rStyle w:val="Hyperlink"/>
          </w:rPr>
          <w:t xml:space="preserve">3.4</w:t>
        </w:r>
      </w:hyperlink>
      <w:r>
        <w:t xml:space="preserve">) permaneceu reservado à síntese temática diretamente alinhada às perguntas de pesquisa. Dos 372 registros, todos possuíam título, ano, fonte e resumo, 329 (88,4%) continham palavras-chave, 327 (87,9%) tinham DOI e 91 (24,5%) apresentavam autores. A ausência de afiliações e referências citadas impediu, respectivamente, a construção de uma rede de colaboração representativa e o acoplamento bibliográfico.</w:t>
      </w:r>
    </w:p>
    <w:p>
      <w:pPr>
        <w:pStyle w:val="BodyText"/>
      </w:pPr>
      <w:r>
        <w:t xml:space="preserve">As palavras-chave foram normalizadas quanto a caixa, acentuação, singular e variantes ortográficas. Expressões equivalentes, como</w:t>
      </w:r>
      <w:r>
        <w:t xml:space="preserve"> </w:t>
      </w:r>
      <w:r>
        <w:rPr>
          <w:iCs/>
          <w:i/>
        </w:rPr>
        <w:t xml:space="preserve">building information modeling</w:t>
      </w:r>
      <w:r>
        <w:t xml:space="preserve">,</w:t>
      </w:r>
      <w:r>
        <w:t xml:space="preserve"> </w:t>
      </w:r>
      <w:r>
        <w:rPr>
          <w:iCs/>
          <w:i/>
        </w:rPr>
        <w:t xml:space="preserve">building information modelling</w:t>
      </w:r>
      <w:r>
        <w:t xml:space="preserve"> </w:t>
      </w:r>
      <w:r>
        <w:t xml:space="preserve">e BIM, foram reunidas. A rede foi construída por coocorrência no mesmo registro e normalizada pelo cosseno das frequências marginais. O mapa temático agrupou os 40 termos mais frequentes e posicionou os grupos segundo centralidade externa e densidade interna. A evolução temática comparou 157 registros de 2010–2020 com 215 registros de 2021–2026. Essas medidas descrevem relações documentais e não representam qualidade metodológica, causalidade ou força de evidência.</w:t>
      </w:r>
    </w:p>
    <w:p>
      <w:pPr>
        <w:pStyle w:val="BodyText"/>
      </w:pPr>
      <w:r>
        <w:t xml:space="preserve">O Gráfico </w:t>
      </w:r>
      <w:hyperlink w:anchor="fig:fontes372">
        <w:r>
          <w:rPr>
            <w:rStyle w:val="Hyperlink"/>
          </w:rPr>
          <w:t xml:space="preserve">2</w:t>
        </w:r>
      </w:hyperlink>
      <w:r>
        <w:t xml:space="preserve"> </w:t>
      </w:r>
      <w:r>
        <w:t xml:space="preserve">sintetiza a distribuição editorial do corpus, composto por 208 fontes. O núcleo aproximado de Bradford reuniu 13 fontes responsáveis por cerca de um terço dos registros.</w:t>
      </w:r>
      <w:r>
        <w:t xml:space="preserve"> </w:t>
      </w:r>
      <w:r>
        <w:rPr>
          <w:iCs/>
          <w:i/>
        </w:rPr>
        <w:t xml:space="preserve">Energy and Buildings</w:t>
      </w:r>
      <w:r>
        <w:t xml:space="preserve"> </w:t>
      </w:r>
      <w:r>
        <w:t xml:space="preserve">apresentou 18 registros, seguida por</w:t>
      </w:r>
      <w:r>
        <w:t xml:space="preserve"> </w:t>
      </w:r>
      <w:r>
        <w:rPr>
          <w:iCs/>
          <w:i/>
        </w:rPr>
        <w:t xml:space="preserve">Journal of Building Engineering</w:t>
      </w:r>
      <w:r>
        <w:t xml:space="preserve"> </w:t>
      </w:r>
      <w:r>
        <w:t xml:space="preserve">(15),</w:t>
      </w:r>
      <w:r>
        <w:t xml:space="preserve"> </w:t>
      </w:r>
      <w:r>
        <w:rPr>
          <w:iCs/>
          <w:i/>
        </w:rPr>
        <w:t xml:space="preserve">Facilities</w:t>
      </w:r>
      <w:r>
        <w:t xml:space="preserve"> </w:t>
      </w:r>
      <w:r>
        <w:t xml:space="preserve">(14),</w:t>
      </w:r>
      <w:r>
        <w:t xml:space="preserve"> </w:t>
      </w:r>
      <w:r>
        <w:rPr>
          <w:iCs/>
          <w:i/>
        </w:rPr>
        <w:t xml:space="preserve">Lecture Notes in Civil Engineering</w:t>
      </w:r>
      <w:r>
        <w:t xml:space="preserve"> </w:t>
      </w:r>
      <w:r>
        <w:t xml:space="preserve">(11),</w:t>
      </w:r>
      <w:r>
        <w:t xml:space="preserve"> </w:t>
      </w:r>
      <w:r>
        <w:rPr>
          <w:iCs/>
          <w:i/>
        </w:rPr>
        <w:t xml:space="preserve">IOP Conference Series: Earth and Environmental Science</w:t>
      </w:r>
      <w:r>
        <w:t xml:space="preserve"> </w:t>
      </w:r>
      <w:r>
        <w:t xml:space="preserve">(10) e</w:t>
      </w:r>
      <w:r>
        <w:t xml:space="preserve"> </w:t>
      </w:r>
      <w:r>
        <w:rPr>
          <w:iCs/>
          <w:i/>
        </w:rPr>
        <w:t xml:space="preserve">Sustainability</w:t>
      </w:r>
      <w:r>
        <w:t xml:space="preserve"> </w:t>
      </w:r>
      <w:r>
        <w:t xml:space="preserve">(10). A presença simultânea de periódicos de energia, engenharia de edificações, gestão de facilidades e sustentabilidade confirma a natureza interdisciplinar do campo.</w:t>
      </w:r>
    </w:p>
    <w:p>
      <w:pPr>
        <w:pStyle w:val="CaptionedFigure"/>
      </w:pPr>
      <w:r>
        <w:drawing>
          <wp:inline>
            <wp:extent cx="5334000" cy="3494976"/>
            <wp:effectExtent b="0" l="0" r="0" t="0"/>
            <wp:docPr descr="" title="" id="28" name="Picture"/>
            <a:graphic>
              <a:graphicData uri="http://schemas.openxmlformats.org/drawingml/2006/picture">
                <pic:pic>
                  <pic:nvPicPr>
                    <pic:cNvPr descr="figuras/figura_fontes_relevantes_372.pdf" id="29" name="Picture"/>
                    <pic:cNvPicPr>
                      <a:picLocks noChangeArrowheads="1" noChangeAspect="1"/>
                    </pic:cNvPicPr>
                  </pic:nvPicPr>
                  <pic:blipFill>
                    <a:blip r:embed="rId27"/>
                    <a:stretch>
                      <a:fillRect/>
                    </a:stretch>
                  </pic:blipFill>
                  <pic:spPr bwMode="auto">
                    <a:xfrm>
                      <a:off x="0" y="0"/>
                      <a:ext cx="5334000" cy="3494976"/>
                    </a:xfrm>
                    <a:prstGeom prst="rect">
                      <a:avLst/>
                    </a:prstGeom>
                    <a:noFill/>
                    <a:ln w="9525">
                      <a:noFill/>
                      <a:headEnd/>
                      <a:tailEnd/>
                    </a:ln>
                  </pic:spPr>
                </pic:pic>
              </a:graphicData>
            </a:graphic>
          </wp:inline>
        </w:drawing>
      </w:r>
    </w:p>
    <w:p>
      <w:pPr>
        <w:pStyle w:val="ImageCaption"/>
      </w:pPr>
      <w:r>
        <w:t xml:space="preserve">Fontes mais frequentes no corpus bibliométrico ampliado</w:t>
      </w:r>
    </w:p>
    <w:p>
      <w:pPr>
        <w:pStyle w:val="BodyText"/>
      </w:pPr>
      <w:r>
        <w:t xml:space="preserve">O Gráfico </w:t>
      </w:r>
      <w:hyperlink w:anchor="fig:mapatematico372">
        <w:r>
          <w:rPr>
            <w:rStyle w:val="Hyperlink"/>
          </w:rPr>
          <w:t xml:space="preserve">3</w:t>
        </w:r>
      </w:hyperlink>
      <w:r>
        <w:t xml:space="preserve"> </w:t>
      </w:r>
      <w:r>
        <w:t xml:space="preserve">apresenta o mapa temático, no qual foram identificados dois eixos de maior centralidade. O primeiro articulou BIM, desempenho da edificação e</w:t>
      </w:r>
      <w:r>
        <w:t xml:space="preserve"> </w:t>
      </w:r>
      <w:r>
        <w:rPr>
          <w:iCs/>
          <w:i/>
        </w:rPr>
        <w:t xml:space="preserve">digital twins</w:t>
      </w:r>
      <w:r>
        <w:t xml:space="preserve">, com centralidade e densidade superiores às medianas do campo. O segundo aproximou gestão de facilidades, edifícios inteligentes e manutenção preditiva, apresentando elevada centralidade e menor densidade interna. Os grupos relacionados a edificações verdes, avaliação do ciclo de vida e desenvolvimento sustentável apresentaram maior especialização interna e menor integração com os demais temas. Energia, emissões e operação predial ocuparam posição menos densa, indicando um conjunto ainda heterogêneo no vocabulário indexado.</w:t>
      </w:r>
    </w:p>
    <w:p>
      <w:pPr>
        <w:pStyle w:val="CaptionedFigure"/>
      </w:pPr>
      <w:r>
        <w:drawing>
          <wp:inline>
            <wp:extent cx="5334000" cy="3668794"/>
            <wp:effectExtent b="0" l="0" r="0" t="0"/>
            <wp:docPr descr="" title="" id="31" name="Picture"/>
            <a:graphic>
              <a:graphicData uri="http://schemas.openxmlformats.org/drawingml/2006/picture">
                <pic:pic>
                  <pic:nvPicPr>
                    <pic:cNvPr descr="figuras/figura_mapa_tematico_372.pdf" id="32" name="Picture"/>
                    <pic:cNvPicPr>
                      <a:picLocks noChangeArrowheads="1" noChangeAspect="1"/>
                    </pic:cNvPicPr>
                  </pic:nvPicPr>
                  <pic:blipFill>
                    <a:blip r:embed="rId30"/>
                    <a:stretch>
                      <a:fillRect/>
                    </a:stretch>
                  </pic:blipFill>
                  <pic:spPr bwMode="auto">
                    <a:xfrm>
                      <a:off x="0" y="0"/>
                      <a:ext cx="5334000" cy="3668794"/>
                    </a:xfrm>
                    <a:prstGeom prst="rect">
                      <a:avLst/>
                    </a:prstGeom>
                    <a:noFill/>
                    <a:ln w="9525">
                      <a:noFill/>
                      <a:headEnd/>
                      <a:tailEnd/>
                    </a:ln>
                  </pic:spPr>
                </pic:pic>
              </a:graphicData>
            </a:graphic>
          </wp:inline>
        </w:drawing>
      </w:r>
    </w:p>
    <w:p>
      <w:pPr>
        <w:pStyle w:val="ImageCaption"/>
      </w:pPr>
      <w:r>
        <w:t xml:space="preserve">Mapa temático por centralidade e densidade das palavras-chave</w:t>
      </w:r>
    </w:p>
    <w:p>
      <w:pPr>
        <w:pStyle w:val="BodyText"/>
      </w:pPr>
      <w:r>
        <w:t xml:space="preserve">O Gráfico </w:t>
      </w:r>
      <w:hyperlink w:anchor="fig:redecor372">
        <w:r>
          <w:rPr>
            <w:rStyle w:val="Hyperlink"/>
          </w:rPr>
          <w:t xml:space="preserve">4</w:t>
        </w:r>
      </w:hyperlink>
      <w:r>
        <w:t xml:space="preserve"> </w:t>
      </w:r>
      <w:r>
        <w:t xml:space="preserve">mostra a rede normalizada, que reforça a posição de BIM e gestão de facilidades como elementos de conexão. BIM apareceu associado a gestão de facilidades,</w:t>
      </w:r>
      <w:r>
        <w:t xml:space="preserve"> </w:t>
      </w:r>
      <w:r>
        <w:rPr>
          <w:iCs/>
          <w:i/>
        </w:rPr>
        <w:t xml:space="preserve">digital twins</w:t>
      </w:r>
      <w:r>
        <w:t xml:space="preserve">, manutenção preditiva, operação e desempenho; gestão de facilidades conectou-se a desempenho, operação e manutenção, gestão de ativos e internet das coisas. Em outro agrupamento, avaliação do ciclo de vida aproximou-se de edificações residenciais e desenvolvimento sustentável. As ligações representam coocorrência normalizada e não demonstram que os conceitos tenham sido operacionalizados conjuntamente em um mesmo modelo decisório.</w:t>
      </w:r>
    </w:p>
    <w:p>
      <w:pPr>
        <w:pStyle w:val="CaptionedFigure"/>
      </w:pPr>
      <w:r>
        <w:drawing>
          <wp:inline>
            <wp:extent cx="5334000" cy="4280170"/>
            <wp:effectExtent b="0" l="0" r="0" t="0"/>
            <wp:docPr descr="" title="" id="34" name="Picture"/>
            <a:graphic>
              <a:graphicData uri="http://schemas.openxmlformats.org/drawingml/2006/picture">
                <pic:pic>
                  <pic:nvPicPr>
                    <pic:cNvPr descr="figuras/figura_rede_coocorrencia_372.pdf" id="35" name="Picture"/>
                    <pic:cNvPicPr>
                      <a:picLocks noChangeArrowheads="1" noChangeAspect="1"/>
                    </pic:cNvPicPr>
                  </pic:nvPicPr>
                  <pic:blipFill>
                    <a:blip r:embed="rId33"/>
                    <a:stretch>
                      <a:fillRect/>
                    </a:stretch>
                  </pic:blipFill>
                  <pic:spPr bwMode="auto">
                    <a:xfrm>
                      <a:off x="0" y="0"/>
                      <a:ext cx="5334000" cy="4280170"/>
                    </a:xfrm>
                    <a:prstGeom prst="rect">
                      <a:avLst/>
                    </a:prstGeom>
                    <a:noFill/>
                    <a:ln w="9525">
                      <a:noFill/>
                      <a:headEnd/>
                      <a:tailEnd/>
                    </a:ln>
                  </pic:spPr>
                </pic:pic>
              </a:graphicData>
            </a:graphic>
          </wp:inline>
        </w:drawing>
      </w:r>
    </w:p>
    <w:p>
      <w:pPr>
        <w:pStyle w:val="ImageCaption"/>
      </w:pPr>
      <w:r>
        <w:t xml:space="preserve">Rede normalizada de coocorrência de palavras-chave</w:t>
      </w:r>
    </w:p>
    <w:p>
      <w:pPr>
        <w:pStyle w:val="BodyText"/>
      </w:pPr>
      <w:r>
        <w:t xml:space="preserve">O Gráfico </w:t>
      </w:r>
      <w:hyperlink w:anchor="fig:evolucaotematica372">
        <w:r>
          <w:rPr>
            <w:rStyle w:val="Hyperlink"/>
          </w:rPr>
          <w:t xml:space="preserve">5</w:t>
        </w:r>
      </w:hyperlink>
      <w:r>
        <w:t xml:space="preserve"> </w:t>
      </w:r>
      <w:r>
        <w:t xml:space="preserve">compara os períodos e mostra mudança do vocabulário do campo. A participação de BIM aumentou 7,3 pontos percentuais entre os dois períodos, enquanto</w:t>
      </w:r>
      <w:r>
        <w:t xml:space="preserve"> </w:t>
      </w:r>
      <w:r>
        <w:rPr>
          <w:iCs/>
          <w:i/>
        </w:rPr>
        <w:t xml:space="preserve">digital twins</w:t>
      </w:r>
      <w:r>
        <w:t xml:space="preserve"> </w:t>
      </w:r>
      <w:r>
        <w:t xml:space="preserve">cresceram 4,7 pontos, emissões de carbono 2,7 pontos e avaliação do ciclo de vida 1,9 ponto. Em sentido contrário, diminuíram proporcionalmente as expressões edificação verde, eficiência energética, manutenção predial e desempenho da edificação. A redução relativa não comprova abandono desses assuntos: pode indicar incorporação dos temas tradicionais a vocabulários tecnológicos e de ciclo de vida mais específicos.</w:t>
      </w:r>
    </w:p>
    <w:p>
      <w:pPr>
        <w:pStyle w:val="CaptionedFigure"/>
      </w:pPr>
      <w:r>
        <w:drawing>
          <wp:inline>
            <wp:extent cx="5334000" cy="4246393"/>
            <wp:effectExtent b="0" l="0" r="0" t="0"/>
            <wp:docPr descr="" title="" id="37" name="Picture"/>
            <a:graphic>
              <a:graphicData uri="http://schemas.openxmlformats.org/drawingml/2006/picture">
                <pic:pic>
                  <pic:nvPicPr>
                    <pic:cNvPr descr="figuras/figura_evolucao_tematica_372.pdf" id="38" name="Picture"/>
                    <pic:cNvPicPr>
                      <a:picLocks noChangeArrowheads="1" noChangeAspect="1"/>
                    </pic:cNvPicPr>
                  </pic:nvPicPr>
                  <pic:blipFill>
                    <a:blip r:embed="rId36"/>
                    <a:stretch>
                      <a:fillRect/>
                    </a:stretch>
                  </pic:blipFill>
                  <pic:spPr bwMode="auto">
                    <a:xfrm>
                      <a:off x="0" y="0"/>
                      <a:ext cx="5334000" cy="4246393"/>
                    </a:xfrm>
                    <a:prstGeom prst="rect">
                      <a:avLst/>
                    </a:prstGeom>
                    <a:noFill/>
                    <a:ln w="9525">
                      <a:noFill/>
                      <a:headEnd/>
                      <a:tailEnd/>
                    </a:ln>
                  </pic:spPr>
                </pic:pic>
              </a:graphicData>
            </a:graphic>
          </wp:inline>
        </w:drawing>
      </w:r>
    </w:p>
    <w:p>
      <w:pPr>
        <w:pStyle w:val="ImageCaption"/>
      </w:pPr>
      <w:r>
        <w:t xml:space="preserve">Evolução das palavras-chave entre 2010–2020 e 2021–2026</w:t>
      </w:r>
    </w:p>
    <w:p>
      <w:pPr>
        <w:pStyle w:val="BodyText"/>
      </w:pPr>
      <w:r>
        <w:t xml:space="preserve">Em conjunto, a camada bibliométrica mostra transição de um vocabulário concentrado em eficiência, desempenho e edificações verdes para outro mais conectado a BIM,</w:t>
      </w:r>
      <w:r>
        <w:t xml:space="preserve"> </w:t>
      </w:r>
      <w:r>
        <w:rPr>
          <w:iCs/>
          <w:i/>
        </w:rPr>
        <w:t xml:space="preserve">digital twins</w:t>
      </w:r>
      <w:r>
        <w:t xml:space="preserve">, carbono, ciclo de vida e manutenção preditiva. Esse resultado descreve a estrutura documental do campo, mas não demonstra maturidade decisória. Por isso, as seções seguintes usam o núcleo temático de 121 registros para examinar se tais temas se convertem em dimensões, critérios, métodos e regras aplicáveis à priorização pública universitária.</w:t>
      </w:r>
    </w:p>
    <w:bookmarkEnd w:id="39"/>
    <w:bookmarkStart w:id="43" w:name="sec:panorama"/>
    <w:p>
      <w:pPr>
        <w:pStyle w:val="Heading1"/>
      </w:pPr>
      <w:r>
        <w:t xml:space="preserve">Panorama bibliométrico e corpus da revisão</w:t>
      </w:r>
    </w:p>
    <w:p>
      <w:pPr>
        <w:pStyle w:val="FirstParagraph"/>
      </w:pPr>
      <w:r>
        <w:t xml:space="preserve">O núcleo final reúne 121 registros publicados entre 2010 e 2026, sendo 104 do corpus original e 17 incorporados pela busca complementar de sensibilidade para inteligência artificial e aprendizado de máquina (Seção </w:t>
      </w:r>
      <w:hyperlink w:anchor="sec:buscaia">
        <w:r>
          <w:rPr>
            <w:rStyle w:val="Hyperlink"/>
          </w:rPr>
          <w:t xml:space="preserve">3.4</w:t>
        </w:r>
      </w:hyperlink>
      <w:r>
        <w:t xml:space="preserve">). O período de 2019 a 2026 concentra 101 registros, correspondentes a 83,5% do núcleo, com maior frequência em 2025, quando foram identificados 29 estudos. O Gráfico </w:t>
      </w:r>
      <w:hyperlink w:anchor="fig:temporal">
        <w:r>
          <w:rPr>
            <w:rStyle w:val="Hyperlink"/>
          </w:rPr>
          <w:t xml:space="preserve">6</w:t>
        </w:r>
      </w:hyperlink>
      <w:r>
        <w:t xml:space="preserve"> </w:t>
      </w:r>
      <w:r>
        <w:t xml:space="preserve">apresenta a distribuição anual.</w:t>
      </w:r>
    </w:p>
    <w:p>
      <w:pPr>
        <w:pStyle w:val="CaptionedFigure"/>
      </w:pPr>
      <w:r>
        <w:drawing>
          <wp:inline>
            <wp:extent cx="5334000" cy="3111500"/>
            <wp:effectExtent b="0" l="0" r="0" t="0"/>
            <wp:docPr descr="" title="" id="41" name="Picture"/>
            <a:graphic>
              <a:graphicData uri="http://schemas.openxmlformats.org/drawingml/2006/picture">
                <pic:pic>
                  <pic:nvPicPr>
                    <pic:cNvPr descr="figuras/figura09_distribuicao_temporal_nucleo_ampliado_121.png" id="42" name="Picture"/>
                    <pic:cNvPicPr>
                      <a:picLocks noChangeArrowheads="1" noChangeAspect="1"/>
                    </pic:cNvPicPr>
                  </pic:nvPicPr>
                  <pic:blipFill>
                    <a:blip r:embed="rId4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Distribuição temporal do núcleo final</w:t>
      </w:r>
    </w:p>
    <w:p>
      <w:pPr>
        <w:pStyle w:val="BodyText"/>
      </w:pPr>
      <w:r>
        <w:t xml:space="preserve">A deduplicação preservou todas as bases em que cada estudo foi recuperado. Entre os 121 registros únicos, 67 foram encontrados apenas na Scopus, 41 na Scopus e na Web of Science, sete apenas na Web of Science, três nas três bases, dois na Scopus e no Crossref e um apenas no Crossref. Por essa razão, a contagem por base representa proveniência e admite respostas múltiplas: 113 registros possuem origem Scopus, 51 possuem origem Web of Science e seis possuem origem Crossref. Esses valores não são tamanhos distintos do corpus: o núcleo permanece composto por 121 registros únicos, e um mesmo registro pode ter sido recuperado em mais de uma base. Nenhum dos 17 registros incorporados pela busca de sensibilidade teve origem exclusiva no Crossref, base em que a ausência sistemática de resumo reduziu a taxa de aprovação na triagem.</w:t>
      </w:r>
    </w:p>
    <w:p>
      <w:pPr>
        <w:pStyle w:val="BodyText"/>
      </w:pPr>
      <w:r>
        <w:t xml:space="preserve">A tipologia documental foi harmonizada para evitar que rótulos equivalentes fossem apresentados como categorias distintas. Os rótulos</w:t>
      </w:r>
      <w:r>
        <w:t xml:space="preserve"> </w:t>
      </w:r>
      <w:r>
        <w:rPr>
          <w:iCs/>
          <w:i/>
        </w:rPr>
        <w:t xml:space="preserve">Journal</w:t>
      </w:r>
      <w:r>
        <w:t xml:space="preserve">,</w:t>
      </w:r>
      <w:r>
        <w:t xml:space="preserve"> </w:t>
      </w:r>
      <w:r>
        <w:rPr>
          <w:iCs/>
          <w:i/>
        </w:rPr>
        <w:t xml:space="preserve">JOUR</w:t>
      </w:r>
      <w:r>
        <w:t xml:space="preserve"> </w:t>
      </w:r>
      <w:r>
        <w:t xml:space="preserve">e</w:t>
      </w:r>
      <w:r>
        <w:t xml:space="preserve"> </w:t>
      </w:r>
      <w:r>
        <w:rPr>
          <w:iCs/>
          <w:i/>
        </w:rPr>
        <w:t xml:space="preserve">journal-article</w:t>
      </w:r>
      <w:r>
        <w:t xml:space="preserve"> </w:t>
      </w:r>
      <w:r>
        <w:t xml:space="preserve">foram reunidos como artigo de periódico.</w:t>
      </w:r>
      <w:r>
        <w:t xml:space="preserve"> </w:t>
      </w:r>
      <w:r>
        <w:rPr>
          <w:iCs/>
          <w:i/>
        </w:rPr>
        <w:t xml:space="preserve">Conference Proceeding</w:t>
      </w:r>
      <w:r>
        <w:t xml:space="preserve"> </w:t>
      </w:r>
      <w:r>
        <w:t xml:space="preserve">e</w:t>
      </w:r>
      <w:r>
        <w:t xml:space="preserve"> </w:t>
      </w:r>
      <w:r>
        <w:rPr>
          <w:iCs/>
          <w:i/>
        </w:rPr>
        <w:t xml:space="preserve">CPAPER</w:t>
      </w:r>
      <w:r>
        <w:t xml:space="preserve"> </w:t>
      </w:r>
      <w:r>
        <w:t xml:space="preserve">foram reunidos como trabalho em evento.</w:t>
      </w:r>
      <w:r>
        <w:t xml:space="preserve"> </w:t>
      </w:r>
      <w:r>
        <w:rPr>
          <w:iCs/>
          <w:i/>
        </w:rPr>
        <w:t xml:space="preserve">Book Series</w:t>
      </w:r>
      <w:r>
        <w:t xml:space="preserve"> </w:t>
      </w:r>
      <w:r>
        <w:t xml:space="preserve">e</w:t>
      </w:r>
      <w:r>
        <w:t xml:space="preserve"> </w:t>
      </w:r>
      <w:r>
        <w:rPr>
          <w:iCs/>
          <w:i/>
        </w:rPr>
        <w:t xml:space="preserve">Book</w:t>
      </w:r>
      <w:r>
        <w:t xml:space="preserve"> </w:t>
      </w:r>
      <w:r>
        <w:t xml:space="preserve">foram reunidos como livro ou série de livro. A Tabela </w:t>
      </w:r>
      <w:hyperlink w:anchor="tab:basetipo">
        <w:r>
          <w:rPr>
            <w:rStyle w:val="Hyperlink"/>
          </w:rPr>
          <w:t xml:space="preserve">7</w:t>
        </w:r>
      </w:hyperlink>
      <w:r>
        <w:t xml:space="preserve"> </w:t>
      </w:r>
      <w:r>
        <w:t xml:space="preserve">apresenta as duas dimensões separadamente.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Categoria</w:t>
            </w:r>
          </w:p>
        </w:tc>
        <w:tc>
          <w:tcPr>
            <w:tcW w:type="dxa" w:w="2340"/>
          </w:tcPr>
          <w:p>
            <w:r>
              <w:rPr>
                <w:b/>
                <w:sz w:val="18"/>
              </w:rPr>
              <w:t>Registros</w:t>
            </w:r>
          </w:p>
        </w:tc>
        <w:tc>
          <w:tcPr>
            <w:tcW w:type="dxa" w:w="2340"/>
          </w:tcPr>
          <w:p>
            <w:r>
              <w:rPr>
                <w:b/>
                <w:sz w:val="18"/>
              </w:rPr>
              <w:t>% dos 121</w:t>
            </w:r>
          </w:p>
        </w:tc>
        <w:tc>
          <w:tcPr>
            <w:tcW w:type="dxa" w:w="2340"/>
          </w:tcPr>
          <w:p>
            <w:r>
              <w:rPr>
                <w:b/>
                <w:sz w:val="18"/>
              </w:rPr>
              <w:t>Observação</w:t>
            </w:r>
          </w:p>
        </w:tc>
      </w:tr>
      <w:tr>
        <w:tc>
          <w:tcPr>
            <w:tcW w:type="dxa" w:w="2340"/>
          </w:tcPr>
          <w:p>
            <w:r>
              <w:rPr>
                <w:sz w:val="18"/>
              </w:rPr>
              <w:t>Scopus</w:t>
            </w:r>
          </w:p>
        </w:tc>
        <w:tc>
          <w:tcPr>
            <w:tcW w:type="dxa" w:w="2340"/>
          </w:tcPr>
          <w:p>
            <w:r>
              <w:rPr>
                <w:sz w:val="18"/>
              </w:rPr>
              <w:t>113</w:t>
            </w:r>
          </w:p>
        </w:tc>
        <w:tc>
          <w:tcPr>
            <w:tcW w:type="dxa" w:w="2340"/>
          </w:tcPr>
          <w:p>
            <w:r>
              <w:rPr>
                <w:sz w:val="18"/>
              </w:rPr>
              <w:t>93,4</w:t>
            </w:r>
          </w:p>
        </w:tc>
        <w:tc>
          <w:tcPr>
            <w:tcW w:type="dxa" w:w="2340"/>
          </w:tcPr>
          <w:p>
            <w:r>
              <w:rPr>
                <w:sz w:val="18"/>
              </w:rPr>
              <w:t>Base bibliográfica principal.</w:t>
            </w:r>
          </w:p>
        </w:tc>
      </w:tr>
      <w:tr>
        <w:tc>
          <w:tcPr>
            <w:tcW w:type="dxa" w:w="2340"/>
          </w:tcPr>
          <w:p>
            <w:r>
              <w:rPr>
                <w:sz w:val="18"/>
              </w:rPr>
              <w:t>Web of Science</w:t>
            </w:r>
          </w:p>
        </w:tc>
        <w:tc>
          <w:tcPr>
            <w:tcW w:type="dxa" w:w="2340"/>
          </w:tcPr>
          <w:p>
            <w:r>
              <w:rPr>
                <w:sz w:val="18"/>
              </w:rPr>
              <w:t>51</w:t>
            </w:r>
          </w:p>
        </w:tc>
        <w:tc>
          <w:tcPr>
            <w:tcW w:type="dxa" w:w="2340"/>
          </w:tcPr>
          <w:p>
            <w:r>
              <w:rPr>
                <w:sz w:val="18"/>
              </w:rPr>
              <w:t>42,1</w:t>
            </w:r>
          </w:p>
        </w:tc>
        <w:tc>
          <w:tcPr>
            <w:tcW w:type="dxa" w:w="2340"/>
          </w:tcPr>
          <w:p>
            <w:r>
              <w:rPr>
                <w:sz w:val="18"/>
              </w:rPr>
              <w:t>Base bibliográfica independente.</w:t>
            </w:r>
          </w:p>
        </w:tc>
      </w:tr>
      <w:tr>
        <w:tc>
          <w:tcPr>
            <w:tcW w:type="dxa" w:w="2340"/>
          </w:tcPr>
          <w:p>
            <w:r>
              <w:rPr>
                <w:sz w:val="18"/>
              </w:rPr>
              <w:t>Crossref</w:t>
            </w:r>
          </w:p>
        </w:tc>
        <w:tc>
          <w:tcPr>
            <w:tcW w:type="dxa" w:w="2340"/>
          </w:tcPr>
          <w:p>
            <w:r>
              <w:rPr>
                <w:sz w:val="18"/>
              </w:rPr>
              <w:t>6</w:t>
            </w:r>
          </w:p>
        </w:tc>
        <w:tc>
          <w:tcPr>
            <w:tcW w:type="dxa" w:w="2340"/>
          </w:tcPr>
          <w:p>
            <w:r>
              <w:rPr>
                <w:sz w:val="18"/>
              </w:rPr>
              <w:t>5,0</w:t>
            </w:r>
          </w:p>
        </w:tc>
        <w:tc>
          <w:tcPr>
            <w:tcW w:type="dxa" w:w="2340"/>
          </w:tcPr>
          <w:p>
            <w:r>
              <w:rPr>
                <w:sz w:val="18"/>
              </w:rPr>
              <w:t>Fonte complementar de metadados.</w:t>
            </w:r>
          </w:p>
        </w:tc>
      </w:tr>
      <w:tr>
        <w:tc>
          <w:tcPr>
            <w:tcW w:type="dxa" w:w="2340"/>
          </w:tcPr>
          <w:p>
            <w:r>
              <w:rPr>
                <w:sz w:val="18"/>
              </w:rPr>
              <w:t>Artigo de periódico</w:t>
            </w:r>
          </w:p>
        </w:tc>
        <w:tc>
          <w:tcPr>
            <w:tcW w:type="dxa" w:w="2340"/>
          </w:tcPr>
          <w:p>
            <w:r>
              <w:rPr>
                <w:sz w:val="18"/>
              </w:rPr>
              <w:t>90</w:t>
            </w:r>
          </w:p>
        </w:tc>
        <w:tc>
          <w:tcPr>
            <w:tcW w:type="dxa" w:w="2340"/>
          </w:tcPr>
          <w:p>
            <w:r>
              <w:rPr>
                <w:sz w:val="18"/>
              </w:rPr>
              <w:t>74,4</w:t>
            </w:r>
          </w:p>
        </w:tc>
        <w:tc>
          <w:tcPr>
            <w:tcW w:type="dxa" w:w="2340"/>
          </w:tcPr>
          <w:p>
            <w:r>
              <w:rPr>
                <w:sz w:val="18"/>
              </w:rPr>
              <w:t>Journal, JOUR e journal-article.</w:t>
            </w:r>
          </w:p>
        </w:tc>
      </w:tr>
      <w:tr>
        <w:tc>
          <w:tcPr>
            <w:tcW w:type="dxa" w:w="2340"/>
          </w:tcPr>
          <w:p>
            <w:r>
              <w:rPr>
                <w:sz w:val="18"/>
              </w:rPr>
              <w:t>Trabalho em evento</w:t>
            </w:r>
          </w:p>
        </w:tc>
        <w:tc>
          <w:tcPr>
            <w:tcW w:type="dxa" w:w="2340"/>
          </w:tcPr>
          <w:p>
            <w:r>
              <w:rPr>
                <w:sz w:val="18"/>
              </w:rPr>
              <w:t>20</w:t>
            </w:r>
          </w:p>
        </w:tc>
        <w:tc>
          <w:tcPr>
            <w:tcW w:type="dxa" w:w="2340"/>
          </w:tcPr>
          <w:p>
            <w:r>
              <w:rPr>
                <w:sz w:val="18"/>
              </w:rPr>
              <w:t>16,5</w:t>
            </w:r>
          </w:p>
        </w:tc>
        <w:tc>
          <w:tcPr>
            <w:tcW w:type="dxa" w:w="2340"/>
          </w:tcPr>
          <w:p>
            <w:r>
              <w:rPr>
                <w:sz w:val="18"/>
              </w:rPr>
              <w:t>Conference Proceeding e CPAPER.</w:t>
            </w:r>
          </w:p>
        </w:tc>
      </w:tr>
      <w:tr>
        <w:tc>
          <w:tcPr>
            <w:tcW w:type="dxa" w:w="2340"/>
          </w:tcPr>
          <w:p>
            <w:r>
              <w:rPr>
                <w:sz w:val="18"/>
              </w:rPr>
              <w:t>Livro ou série de livro</w:t>
            </w:r>
          </w:p>
        </w:tc>
        <w:tc>
          <w:tcPr>
            <w:tcW w:type="dxa" w:w="2340"/>
          </w:tcPr>
          <w:p>
            <w:r>
              <w:rPr>
                <w:sz w:val="18"/>
              </w:rPr>
              <w:t>11</w:t>
            </w:r>
          </w:p>
        </w:tc>
        <w:tc>
          <w:tcPr>
            <w:tcW w:type="dxa" w:w="2340"/>
          </w:tcPr>
          <w:p>
            <w:r>
              <w:rPr>
                <w:sz w:val="18"/>
              </w:rPr>
              <w:t>9,1</w:t>
            </w:r>
          </w:p>
        </w:tc>
        <w:tc>
          <w:tcPr>
            <w:tcW w:type="dxa" w:w="2340"/>
          </w:tcPr>
          <w:p>
            <w:r>
              <w:rPr>
                <w:sz w:val="18"/>
              </w:rPr>
              <w:t>Book Series e Book.</w:t>
            </w:r>
          </w:p>
        </w:tc>
      </w:tr>
    </w:tbl>
    <w:p/>
    <w:p>
      <w:pPr>
        <w:pStyle w:val="BodyText"/>
      </w:pPr>
      <w:r>
        <w:t xml:space="preserve">A concentração em artigos de periódico e a baixa presença exclusiva do Crossref descrevem a composição documental do núcleo, não a qualidade individual dos estudos. Do mesmo modo, a sobreposição entre bases expressa proveniência da recuperação e não constitui replicação independente de evidência.</w:t>
      </w:r>
    </w:p>
    <w:bookmarkEnd w:id="43"/>
    <w:bookmarkStart w:id="47" w:name="sec:criterios"/>
    <w:p>
      <w:pPr>
        <w:pStyle w:val="Heading1"/>
      </w:pPr>
      <w:r>
        <w:t xml:space="preserve">Critérios de sustentabilidade e priorização</w:t>
      </w:r>
    </w:p>
    <w:p>
      <w:pPr>
        <w:pStyle w:val="FirstParagraph"/>
      </w:pPr>
      <w:r>
        <w:t xml:space="preserve">Em resposta à RQ1, a codificação documental identificou seis dimensões, com respostas múltiplas: técnica-operacional em 116 registros, institucional em 97, ambiental em 92, ciclo de vida em 65, econômica em 63 e social em 59. O predomínio das duas primeiras reflete também a amplitude do manual de codificação e não demonstra aplicação empírica ou maior importância científica. A composição é compatível com a gestão de facilidades sustentável, que articula impactos ambientais, sociais e econômicos nos níveis estratégico, tático e operacional</w:t>
      </w:r>
      <w:r>
        <w:t xml:space="preserve"> </w:t>
      </w:r>
      <w:r>
        <w:t xml:space="preserve">(Nielsen, Sarasoja, and Galamba 2016; Okoro 2023)</w:t>
      </w:r>
      <w:r>
        <w:t xml:space="preserve">, e com avaliações de edifícios educacionais que combinam desempenho, energia, conforto e usuários</w:t>
      </w:r>
      <w:r>
        <w:t xml:space="preserve"> </w:t>
      </w:r>
      <w:r>
        <w:t xml:space="preserve">(Alfalah et al. 2022)</w:t>
      </w:r>
      <w:r>
        <w:t xml:space="preserve">.</w:t>
      </w:r>
    </w:p>
    <w:p>
      <w:pPr>
        <w:pStyle w:val="CaptionedFigure"/>
      </w:pPr>
      <w:r>
        <w:drawing>
          <wp:inline>
            <wp:extent cx="5334000" cy="3263152"/>
            <wp:effectExtent b="0" l="0" r="0" t="0"/>
            <wp:docPr descr="" title="" id="45" name="Picture"/>
            <a:graphic>
              <a:graphicData uri="http://schemas.openxmlformats.org/drawingml/2006/picture">
                <pic:pic>
                  <pic:nvPicPr>
                    <pic:cNvPr descr="figuras/figura12_dimensoes_sustentabilidade_nucleo_ampliado_121.png" id="46" name="Picture"/>
                    <pic:cNvPicPr>
                      <a:picLocks noChangeArrowheads="1" noChangeAspect="1"/>
                    </pic:cNvPicPr>
                  </pic:nvPicPr>
                  <pic:blipFill>
                    <a:blip r:embed="rId44"/>
                    <a:stretch>
                      <a:fillRect/>
                    </a:stretch>
                  </pic:blipFill>
                  <pic:spPr bwMode="auto">
                    <a:xfrm>
                      <a:off x="0" y="0"/>
                      <a:ext cx="5334000" cy="3263152"/>
                    </a:xfrm>
                    <a:prstGeom prst="rect">
                      <a:avLst/>
                    </a:prstGeom>
                    <a:noFill/>
                    <a:ln w="9525">
                      <a:noFill/>
                      <a:headEnd/>
                      <a:tailEnd/>
                    </a:ln>
                  </pic:spPr>
                </pic:pic>
              </a:graphicData>
            </a:graphic>
          </wp:inline>
        </w:drawing>
      </w:r>
    </w:p>
    <w:p>
      <w:pPr>
        <w:pStyle w:val="ImageCaption"/>
      </w:pPr>
      <w:r>
        <w:t xml:space="preserve">Dimensões de sustentabilidade identificadas no núcleo final</w:t>
      </w:r>
    </w:p>
    <w:p>
      <w:pPr>
        <w:pStyle w:val="BodyText"/>
      </w:pPr>
      <w:r>
        <w:t xml:space="preserve">A referência explícita aos ODS apareceu em um registro, que integrou sustentabilidade, AHP, TOPSIS e otimização na alocação de prestadores de manutenção pública</w:t>
      </w:r>
      <w:r>
        <w:t xml:space="preserve"> </w:t>
      </w:r>
      <w:r>
        <w:t xml:space="preserve">(Masmoudi et al. 2026)</w:t>
      </w:r>
      <w:r>
        <w:t xml:space="preserve">. ESG não foi identificado nos campos auditados, embora componentes ambientais, sociais e institucionais fossem frequentes. A comparação com a literatura recente indica que o uso explícito desse vocabulário em gestão de facilidades ainda é emergente</w:t>
      </w:r>
      <w:r>
        <w:t xml:space="preserve"> </w:t>
      </w:r>
      <w:r>
        <w:t xml:space="preserve">(Ramantswana et al. 2026)</w:t>
      </w:r>
      <w:r>
        <w:t xml:space="preserve">.</w:t>
      </w:r>
    </w:p>
    <w:p>
      <w:pPr>
        <w:pStyle w:val="BodyText"/>
      </w:pPr>
      <w:r>
        <w:t xml:space="preserve">Em resposta à RQ2, desempenho operacional aparece em 99 registros, informação e dados em 82, custo em 63, energia e vida útil em 44 cada. Condição física, risco e manutenibilidade completam o núcleo técnico; conforto, segurança, satisfação, emissões, resíduos e água representam efeitos sociais e ambientais específicos.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Critério</w:t>
            </w:r>
          </w:p>
        </w:tc>
        <w:tc>
          <w:tcPr>
            <w:tcW w:type="dxa" w:w="3120"/>
          </w:tcPr>
          <w:p>
            <w:r>
              <w:rPr>
                <w:b/>
                <w:sz w:val="18"/>
              </w:rPr>
              <w:t>Registros</w:t>
            </w:r>
          </w:p>
        </w:tc>
        <w:tc>
          <w:tcPr>
            <w:tcW w:type="dxa" w:w="3120"/>
          </w:tcPr>
          <w:p>
            <w:r>
              <w:rPr>
                <w:b/>
                <w:sz w:val="18"/>
              </w:rPr>
              <w:t>% dos 121</w:t>
            </w:r>
          </w:p>
        </w:tc>
      </w:tr>
      <w:tr>
        <w:tc>
          <w:tcPr>
            <w:tcW w:type="dxa" w:w="3120"/>
          </w:tcPr>
          <w:p>
            <w:r>
              <w:rPr>
                <w:sz w:val="18"/>
              </w:rPr>
              <w:t>Desempenho operacional</w:t>
            </w:r>
          </w:p>
        </w:tc>
        <w:tc>
          <w:tcPr>
            <w:tcW w:type="dxa" w:w="3120"/>
          </w:tcPr>
          <w:p>
            <w:r>
              <w:rPr>
                <w:sz w:val="18"/>
              </w:rPr>
              <w:t>99</w:t>
            </w:r>
          </w:p>
        </w:tc>
        <w:tc>
          <w:tcPr>
            <w:tcW w:type="dxa" w:w="3120"/>
          </w:tcPr>
          <w:p>
            <w:r>
              <w:rPr>
                <w:sz w:val="18"/>
              </w:rPr>
              <w:t>81,8</w:t>
            </w:r>
          </w:p>
        </w:tc>
      </w:tr>
      <w:tr>
        <w:tc>
          <w:tcPr>
            <w:tcW w:type="dxa" w:w="3120"/>
          </w:tcPr>
          <w:p>
            <w:r>
              <w:rPr>
                <w:sz w:val="18"/>
              </w:rPr>
              <w:t>Informação e dados</w:t>
            </w:r>
          </w:p>
        </w:tc>
        <w:tc>
          <w:tcPr>
            <w:tcW w:type="dxa" w:w="3120"/>
          </w:tcPr>
          <w:p>
            <w:r>
              <w:rPr>
                <w:sz w:val="18"/>
              </w:rPr>
              <w:t>82</w:t>
            </w:r>
          </w:p>
        </w:tc>
        <w:tc>
          <w:tcPr>
            <w:tcW w:type="dxa" w:w="3120"/>
          </w:tcPr>
          <w:p>
            <w:r>
              <w:rPr>
                <w:sz w:val="18"/>
              </w:rPr>
              <w:t>67,8</w:t>
            </w:r>
          </w:p>
        </w:tc>
      </w:tr>
      <w:tr>
        <w:tc>
          <w:tcPr>
            <w:tcW w:type="dxa" w:w="3120"/>
          </w:tcPr>
          <w:p>
            <w:r>
              <w:rPr>
                <w:sz w:val="18"/>
              </w:rPr>
              <w:t>Custo</w:t>
            </w:r>
          </w:p>
        </w:tc>
        <w:tc>
          <w:tcPr>
            <w:tcW w:type="dxa" w:w="3120"/>
          </w:tcPr>
          <w:p>
            <w:r>
              <w:rPr>
                <w:sz w:val="18"/>
              </w:rPr>
              <w:t>63</w:t>
            </w:r>
          </w:p>
        </w:tc>
        <w:tc>
          <w:tcPr>
            <w:tcW w:type="dxa" w:w="3120"/>
          </w:tcPr>
          <w:p>
            <w:r>
              <w:rPr>
                <w:sz w:val="18"/>
              </w:rPr>
              <w:t>52,1</w:t>
            </w:r>
          </w:p>
        </w:tc>
      </w:tr>
      <w:tr>
        <w:tc>
          <w:tcPr>
            <w:tcW w:type="dxa" w:w="3120"/>
          </w:tcPr>
          <w:p>
            <w:r>
              <w:rPr>
                <w:sz w:val="18"/>
              </w:rPr>
              <w:t>Energia</w:t>
            </w:r>
          </w:p>
        </w:tc>
        <w:tc>
          <w:tcPr>
            <w:tcW w:type="dxa" w:w="3120"/>
          </w:tcPr>
          <w:p>
            <w:r>
              <w:rPr>
                <w:sz w:val="18"/>
              </w:rPr>
              <w:t>44</w:t>
            </w:r>
          </w:p>
        </w:tc>
        <w:tc>
          <w:tcPr>
            <w:tcW w:type="dxa" w:w="3120"/>
          </w:tcPr>
          <w:p>
            <w:r>
              <w:rPr>
                <w:sz w:val="18"/>
              </w:rPr>
              <w:t>36,4</w:t>
            </w:r>
          </w:p>
        </w:tc>
      </w:tr>
      <w:tr>
        <w:tc>
          <w:tcPr>
            <w:tcW w:type="dxa" w:w="3120"/>
          </w:tcPr>
          <w:p>
            <w:r>
              <w:rPr>
                <w:sz w:val="18"/>
              </w:rPr>
              <w:t>Vida útil</w:t>
            </w:r>
          </w:p>
        </w:tc>
        <w:tc>
          <w:tcPr>
            <w:tcW w:type="dxa" w:w="3120"/>
          </w:tcPr>
          <w:p>
            <w:r>
              <w:rPr>
                <w:sz w:val="18"/>
              </w:rPr>
              <w:t>44</w:t>
            </w:r>
          </w:p>
        </w:tc>
        <w:tc>
          <w:tcPr>
            <w:tcW w:type="dxa" w:w="3120"/>
          </w:tcPr>
          <w:p>
            <w:r>
              <w:rPr>
                <w:sz w:val="18"/>
              </w:rPr>
              <w:t>36,4</w:t>
            </w:r>
          </w:p>
        </w:tc>
      </w:tr>
      <w:tr>
        <w:tc>
          <w:tcPr>
            <w:tcW w:type="dxa" w:w="3120"/>
          </w:tcPr>
          <w:p>
            <w:r>
              <w:rPr>
                <w:sz w:val="18"/>
              </w:rPr>
              <w:t>Condição física</w:t>
            </w:r>
          </w:p>
        </w:tc>
        <w:tc>
          <w:tcPr>
            <w:tcW w:type="dxa" w:w="3120"/>
          </w:tcPr>
          <w:p>
            <w:r>
              <w:rPr>
                <w:sz w:val="18"/>
              </w:rPr>
              <w:t>34</w:t>
            </w:r>
          </w:p>
        </w:tc>
        <w:tc>
          <w:tcPr>
            <w:tcW w:type="dxa" w:w="3120"/>
          </w:tcPr>
          <w:p>
            <w:r>
              <w:rPr>
                <w:sz w:val="18"/>
              </w:rPr>
              <w:t>28,1</w:t>
            </w:r>
          </w:p>
        </w:tc>
      </w:tr>
      <w:tr>
        <w:tc>
          <w:tcPr>
            <w:tcW w:type="dxa" w:w="3120"/>
          </w:tcPr>
          <w:p>
            <w:r>
              <w:rPr>
                <w:sz w:val="18"/>
              </w:rPr>
              <w:t>Risco</w:t>
            </w:r>
          </w:p>
        </w:tc>
        <w:tc>
          <w:tcPr>
            <w:tcW w:type="dxa" w:w="3120"/>
          </w:tcPr>
          <w:p>
            <w:r>
              <w:rPr>
                <w:sz w:val="18"/>
              </w:rPr>
              <w:t>33</w:t>
            </w:r>
          </w:p>
        </w:tc>
        <w:tc>
          <w:tcPr>
            <w:tcW w:type="dxa" w:w="3120"/>
          </w:tcPr>
          <w:p>
            <w:r>
              <w:rPr>
                <w:sz w:val="18"/>
              </w:rPr>
              <w:t>27,3</w:t>
            </w:r>
          </w:p>
        </w:tc>
      </w:tr>
      <w:tr>
        <w:tc>
          <w:tcPr>
            <w:tcW w:type="dxa" w:w="3120"/>
          </w:tcPr>
          <w:p>
            <w:r>
              <w:rPr>
                <w:sz w:val="18"/>
              </w:rPr>
              <w:t>Manutenibilidade</w:t>
            </w:r>
          </w:p>
        </w:tc>
        <w:tc>
          <w:tcPr>
            <w:tcW w:type="dxa" w:w="3120"/>
          </w:tcPr>
          <w:p>
            <w:r>
              <w:rPr>
                <w:sz w:val="18"/>
              </w:rPr>
              <w:t>25</w:t>
            </w:r>
          </w:p>
        </w:tc>
        <w:tc>
          <w:tcPr>
            <w:tcW w:type="dxa" w:w="3120"/>
          </w:tcPr>
          <w:p>
            <w:r>
              <w:rPr>
                <w:sz w:val="18"/>
              </w:rPr>
              <w:t>20,7</w:t>
            </w:r>
          </w:p>
        </w:tc>
      </w:tr>
      <w:tr>
        <w:tc>
          <w:tcPr>
            <w:tcW w:type="dxa" w:w="3120"/>
          </w:tcPr>
          <w:p>
            <w:r>
              <w:rPr>
                <w:sz w:val="18"/>
              </w:rPr>
              <w:t>Conforto</w:t>
            </w:r>
          </w:p>
        </w:tc>
        <w:tc>
          <w:tcPr>
            <w:tcW w:type="dxa" w:w="3120"/>
          </w:tcPr>
          <w:p>
            <w:r>
              <w:rPr>
                <w:sz w:val="18"/>
              </w:rPr>
              <w:t>22</w:t>
            </w:r>
          </w:p>
        </w:tc>
        <w:tc>
          <w:tcPr>
            <w:tcW w:type="dxa" w:w="3120"/>
          </w:tcPr>
          <w:p>
            <w:r>
              <w:rPr>
                <w:sz w:val="18"/>
              </w:rPr>
              <w:t>18,2</w:t>
            </w:r>
          </w:p>
        </w:tc>
      </w:tr>
      <w:tr>
        <w:tc>
          <w:tcPr>
            <w:tcW w:type="dxa" w:w="3120"/>
          </w:tcPr>
          <w:p>
            <w:r>
              <w:rPr>
                <w:sz w:val="18"/>
              </w:rPr>
              <w:t>Segurança</w:t>
            </w:r>
          </w:p>
        </w:tc>
        <w:tc>
          <w:tcPr>
            <w:tcW w:type="dxa" w:w="3120"/>
          </w:tcPr>
          <w:p>
            <w:r>
              <w:rPr>
                <w:sz w:val="18"/>
              </w:rPr>
              <w:t>18</w:t>
            </w:r>
          </w:p>
        </w:tc>
        <w:tc>
          <w:tcPr>
            <w:tcW w:type="dxa" w:w="3120"/>
          </w:tcPr>
          <w:p>
            <w:r>
              <w:rPr>
                <w:sz w:val="18"/>
              </w:rPr>
              <w:t>14,9</w:t>
            </w:r>
          </w:p>
        </w:tc>
      </w:tr>
      <w:tr>
        <w:tc>
          <w:tcPr>
            <w:tcW w:type="dxa" w:w="3120"/>
          </w:tcPr>
          <w:p>
            <w:r>
              <w:rPr>
                <w:sz w:val="18"/>
              </w:rPr>
              <w:t>Emissões de carbono</w:t>
            </w:r>
          </w:p>
        </w:tc>
        <w:tc>
          <w:tcPr>
            <w:tcW w:type="dxa" w:w="3120"/>
          </w:tcPr>
          <w:p>
            <w:r>
              <w:rPr>
                <w:sz w:val="18"/>
              </w:rPr>
              <w:t>15</w:t>
            </w:r>
          </w:p>
        </w:tc>
        <w:tc>
          <w:tcPr>
            <w:tcW w:type="dxa" w:w="3120"/>
          </w:tcPr>
          <w:p>
            <w:r>
              <w:rPr>
                <w:sz w:val="18"/>
              </w:rPr>
              <w:t>12,4</w:t>
            </w:r>
          </w:p>
        </w:tc>
      </w:tr>
      <w:tr>
        <w:tc>
          <w:tcPr>
            <w:tcW w:type="dxa" w:w="3120"/>
          </w:tcPr>
          <w:p>
            <w:r>
              <w:rPr>
                <w:sz w:val="18"/>
              </w:rPr>
              <w:t>Resíduos</w:t>
            </w:r>
          </w:p>
        </w:tc>
        <w:tc>
          <w:tcPr>
            <w:tcW w:type="dxa" w:w="3120"/>
          </w:tcPr>
          <w:p>
            <w:r>
              <w:rPr>
                <w:sz w:val="18"/>
              </w:rPr>
              <w:t>13</w:t>
            </w:r>
          </w:p>
        </w:tc>
        <w:tc>
          <w:tcPr>
            <w:tcW w:type="dxa" w:w="3120"/>
          </w:tcPr>
          <w:p>
            <w:r>
              <w:rPr>
                <w:sz w:val="18"/>
              </w:rPr>
              <w:t>10,7</w:t>
            </w:r>
          </w:p>
        </w:tc>
      </w:tr>
      <w:tr>
        <w:tc>
          <w:tcPr>
            <w:tcW w:type="dxa" w:w="3120"/>
          </w:tcPr>
          <w:p>
            <w:r>
              <w:rPr>
                <w:sz w:val="18"/>
              </w:rPr>
              <w:t>Satisfação do usuário</w:t>
            </w:r>
          </w:p>
        </w:tc>
        <w:tc>
          <w:tcPr>
            <w:tcW w:type="dxa" w:w="3120"/>
          </w:tcPr>
          <w:p>
            <w:r>
              <w:rPr>
                <w:sz w:val="18"/>
              </w:rPr>
              <w:t>9</w:t>
            </w:r>
          </w:p>
        </w:tc>
        <w:tc>
          <w:tcPr>
            <w:tcW w:type="dxa" w:w="3120"/>
          </w:tcPr>
          <w:p>
            <w:r>
              <w:rPr>
                <w:sz w:val="18"/>
              </w:rPr>
              <w:t>7,4</w:t>
            </w:r>
          </w:p>
        </w:tc>
      </w:tr>
      <w:tr>
        <w:tc>
          <w:tcPr>
            <w:tcW w:type="dxa" w:w="3120"/>
          </w:tcPr>
          <w:p>
            <w:r>
              <w:rPr>
                <w:sz w:val="18"/>
              </w:rPr>
              <w:t>Água</w:t>
            </w:r>
          </w:p>
        </w:tc>
        <w:tc>
          <w:tcPr>
            <w:tcW w:type="dxa" w:w="3120"/>
          </w:tcPr>
          <w:p>
            <w:r>
              <w:rPr>
                <w:sz w:val="18"/>
              </w:rPr>
              <w:t>6</w:t>
            </w:r>
          </w:p>
        </w:tc>
        <w:tc>
          <w:tcPr>
            <w:tcW w:type="dxa" w:w="3120"/>
          </w:tcPr>
          <w:p>
            <w:r>
              <w:rPr>
                <w:sz w:val="18"/>
              </w:rPr>
              <w:t>5,0</w:t>
            </w:r>
          </w:p>
        </w:tc>
      </w:tr>
      <w:tr>
        <w:tc>
          <w:tcPr>
            <w:tcW w:type="dxa" w:w="3120"/>
          </w:tcPr>
          <w:p>
            <w:r>
              <w:rPr>
                <w:sz w:val="18"/>
              </w:rPr>
              <w:t>Qualidade de serviço</w:t>
            </w:r>
          </w:p>
        </w:tc>
        <w:tc>
          <w:tcPr>
            <w:tcW w:type="dxa" w:w="3120"/>
          </w:tcPr>
          <w:p>
            <w:r>
              <w:rPr>
                <w:sz w:val="18"/>
              </w:rPr>
              <w:t>6</w:t>
            </w:r>
          </w:p>
        </w:tc>
        <w:tc>
          <w:tcPr>
            <w:tcW w:type="dxa" w:w="3120"/>
          </w:tcPr>
          <w:p>
            <w:r>
              <w:rPr>
                <w:sz w:val="18"/>
              </w:rPr>
              <w:t>5,0</w:t>
            </w:r>
          </w:p>
        </w:tc>
      </w:tr>
    </w:tbl>
    <w:p/>
    <w:p>
      <w:pPr>
        <w:pStyle w:val="BodyText"/>
      </w:pPr>
      <w:r>
        <w:t xml:space="preserve">Para a gestão pública universitária, desempenho sustenta indicadores de continuidade e falha; informação, requisitos de rastreabilidade; e custo, a distinção entre correção emergencial, manutenção planejada e renovação. Estudos com registros de pagamento</w:t>
      </w:r>
      <w:r>
        <w:t xml:space="preserve"> </w:t>
      </w:r>
      <w:r>
        <w:t xml:space="preserve">(Kim et al. 2018)</w:t>
      </w:r>
      <w:r>
        <w:t xml:space="preserve"> </w:t>
      </w:r>
      <w:r>
        <w:t xml:space="preserve">e planejamento conjunto de manutenção, renovação e energia</w:t>
      </w:r>
      <w:r>
        <w:t xml:space="preserve"> </w:t>
      </w:r>
      <w:r>
        <w:t xml:space="preserve">(Nägeli et al. 2019)</w:t>
      </w:r>
      <w:r>
        <w:t xml:space="preserve"> </w:t>
      </w:r>
      <w:r>
        <w:t xml:space="preserve">reforçam essa combinação.</w:t>
      </w:r>
    </w:p>
    <w:p>
      <w:pPr>
        <w:pStyle w:val="BodyText"/>
      </w:pPr>
      <w:r>
        <w:t xml:space="preserve">As leituras integrais qualificam os mecanismos subjacentes.</w:t>
      </w:r>
      <w:r>
        <w:t xml:space="preserve"> </w:t>
      </w:r>
      <w:r>
        <w:t xml:space="preserve">Aliu et al. (2025)</w:t>
      </w:r>
      <w:r>
        <w:t xml:space="preserve"> </w:t>
      </w:r>
      <w:r>
        <w:t xml:space="preserve">situam a operação e manutenção acima de 80% do custo do ciclo de vida e entre 50% e 70% dos custos operacionais anuais;</w:t>
      </w:r>
      <w:r>
        <w:t xml:space="preserve"> </w:t>
      </w:r>
      <w:r>
        <w:t xml:space="preserve">Othman and Kamal (2023)</w:t>
      </w:r>
      <w:r>
        <w:t xml:space="preserve"> </w:t>
      </w:r>
      <w:r>
        <w:t xml:space="preserve">indicam que até 50% das dificuldades de manutenção poderiam ser evitadas por decisões ainda na concepção. Em sistemas vegetados verticais, acesso, irrigação, drenagem, segurança, degradação, supervisão e coordenação confirmam que manutenibilidade integra desempenho, custo, risco e recursos</w:t>
      </w:r>
      <w:r>
        <w:t xml:space="preserve"> </w:t>
      </w:r>
      <w:r>
        <w:t xml:space="preserve">(Chew and Conejos 2016; Conejos, Chew, and Azril 2019)</w:t>
      </w:r>
      <w:r>
        <w:t xml:space="preserve">.</w:t>
      </w:r>
    </w:p>
    <w:bookmarkEnd w:id="47"/>
    <w:bookmarkStart w:id="51" w:name="sec:metodos"/>
    <w:p>
      <w:pPr>
        <w:pStyle w:val="Heading1"/>
      </w:pPr>
      <w:r>
        <w:t xml:space="preserve">Métodos de apoio à decisão</w:t>
      </w:r>
    </w:p>
    <w:p>
      <w:pPr>
        <w:pStyle w:val="FirstParagraph"/>
      </w:pPr>
      <w:r>
        <w:t xml:space="preserve">Em resposta à RQ3, a categoria ampla</w:t>
      </w:r>
      <w:r>
        <w:t xml:space="preserve"> </w:t>
      </w:r>
      <w:r>
        <w:rPr>
          <w:iCs/>
          <w:i/>
        </w:rPr>
        <w:t xml:space="preserve">framework</w:t>
      </w:r>
      <w:r>
        <w:t xml:space="preserve"> </w:t>
      </w:r>
      <w:r>
        <w:t xml:space="preserve">foi atribuída a 101 registros. A modelagem da informação da construção (BIM, do inglês</w:t>
      </w:r>
      <w:r>
        <w:t xml:space="preserve"> </w:t>
      </w:r>
      <w:r>
        <w:rPr>
          <w:iCs/>
          <w:i/>
        </w:rPr>
        <w:t xml:space="preserve">Building Information Modeling</w:t>
      </w:r>
      <w:r>
        <w:t xml:space="preserve">) e</w:t>
      </w:r>
      <w:r>
        <w:t xml:space="preserve"> </w:t>
      </w:r>
      <w:r>
        <w:rPr>
          <w:iCs/>
          <w:i/>
        </w:rPr>
        <w:t xml:space="preserve">decision support</w:t>
      </w:r>
      <w:r>
        <w:t xml:space="preserve"> </w:t>
      </w:r>
      <w:r>
        <w:t xml:space="preserve">aparecem em 28 e 29, seguidos de aprendizado de máquina em 26, otimização em 19, pontuação em 17 e custo do ciclo de vida em 16. Entre os métodos nomeados, AHP ocorre em cinco registros, TOPSIS em quatro, MCDM e Delphi em três cada, ANP em dois, e</w:t>
      </w:r>
      <w:r>
        <w:t xml:space="preserve"> </w:t>
      </w:r>
      <w:r>
        <w:rPr>
          <w:iCs/>
          <w:i/>
        </w:rPr>
        <w:t xml:space="preserve">Bayesian Best-Worst Method</w:t>
      </w:r>
      <w:r>
        <w:t xml:space="preserve">,</w:t>
      </w:r>
      <w:r>
        <w:t xml:space="preserve"> </w:t>
      </w:r>
      <w:r>
        <w:rPr>
          <w:iCs/>
          <w:i/>
        </w:rPr>
        <w:t xml:space="preserve">balanced scorecard</w:t>
      </w:r>
      <w:r>
        <w:t xml:space="preserve"> </w:t>
      </w:r>
      <w:r>
        <w:t xml:space="preserve">e raciocínio baseado em casos em um cada. A categoria</w:t>
      </w:r>
      <w:r>
        <w:t xml:space="preserve"> </w:t>
      </w:r>
      <w:r>
        <w:rPr>
          <w:iCs/>
          <w:i/>
        </w:rPr>
        <w:t xml:space="preserve">framework</w:t>
      </w:r>
      <w:r>
        <w:t xml:space="preserve"> </w:t>
      </w:r>
      <w:r>
        <w:t xml:space="preserve">reúne estruturas, modelos e referenciais; não equivale, por si, a método multicritério aplicado ou validado.</w:t>
      </w:r>
    </w:p>
    <w:p>
      <w:pPr>
        <w:pStyle w:val="CaptionedFigure"/>
      </w:pPr>
      <w:r>
        <w:drawing>
          <wp:inline>
            <wp:extent cx="5334000" cy="4859866"/>
            <wp:effectExtent b="0" l="0" r="0" t="0"/>
            <wp:docPr descr="" title="" id="49" name="Picture"/>
            <a:graphic>
              <a:graphicData uri="http://schemas.openxmlformats.org/drawingml/2006/picture">
                <pic:pic>
                  <pic:nvPicPr>
                    <pic:cNvPr descr="figuras/figura11_metodos_mcdm_mais_frequentes_nucleo_ampliado_121.png" id="50" name="Picture"/>
                    <pic:cNvPicPr>
                      <a:picLocks noChangeArrowheads="1" noChangeAspect="1"/>
                    </pic:cNvPicPr>
                  </pic:nvPicPr>
                  <pic:blipFill>
                    <a:blip r:embed="rId48"/>
                    <a:stretch>
                      <a:fillRect/>
                    </a:stretch>
                  </pic:blipFill>
                  <pic:spPr bwMode="auto">
                    <a:xfrm>
                      <a:off x="0" y="0"/>
                      <a:ext cx="5334000" cy="4859866"/>
                    </a:xfrm>
                    <a:prstGeom prst="rect">
                      <a:avLst/>
                    </a:prstGeom>
                    <a:noFill/>
                    <a:ln w="9525">
                      <a:noFill/>
                      <a:headEnd/>
                      <a:tailEnd/>
                    </a:ln>
                  </pic:spPr>
                </pic:pic>
              </a:graphicData>
            </a:graphic>
          </wp:inline>
        </w:drawing>
      </w:r>
    </w:p>
    <w:p>
      <w:pPr>
        <w:pStyle w:val="ImageCaption"/>
      </w:pPr>
      <w:r>
        <w:t xml:space="preserve">Abordagens e métodos de apoio à decisão identificados no núcleo final</w:t>
      </w:r>
    </w:p>
    <w:p>
      <w:pPr>
        <w:pStyle w:val="BodyText"/>
      </w:pPr>
      <w:r>
        <w:t xml:space="preserve">BIM foi identificado em 28 registros (23,1%) e</w:t>
      </w:r>
      <w:r>
        <w:t xml:space="preserve"> </w:t>
      </w:r>
      <w:r>
        <w:rPr>
          <w:iCs/>
          <w:i/>
        </w:rPr>
        <w:t xml:space="preserve">digital twin</w:t>
      </w:r>
      <w:r>
        <w:t xml:space="preserve"> </w:t>
      </w:r>
      <w:r>
        <w:t xml:space="preserve">em 11 (9,1%), presença que indica trajetória tecnológica, não maturidade das universidades públicas. Aprendizado de máquina, tema da busca complementar de sensibilidade (Seção </w:t>
      </w:r>
      <w:hyperlink w:anchor="sec:buscaia">
        <w:r>
          <w:rPr>
            <w:rStyle w:val="Hyperlink"/>
          </w:rPr>
          <w:t xml:space="preserve">3.4</w:t>
        </w:r>
      </w:hyperlink>
      <w:r>
        <w:t xml:space="preserve">), salta de nove para 26 registros (21,5%) entre o núcleo original e o núcleo ampliado, crescimento concentrado, por construção, nos 17 estudos incorporados por essa busca, e não em uma tendência observada de forma independente na busca original. Os demais métodos crescem de forma modesta e proporcional ao aumento geral do núcleo, sem evidência de que a busca de sensibilidade tenha inflado artificialmente outras categorias metodológicas.</w:t>
      </w:r>
    </w:p>
    <w:p>
      <w:pPr>
        <w:pStyle w:val="BodyText"/>
      </w:pPr>
      <w:r>
        <w:t xml:space="preserve">Esses resultados não tornam BIM,</w:t>
      </w:r>
      <w:r>
        <w:t xml:space="preserve"> </w:t>
      </w:r>
      <w:r>
        <w:rPr>
          <w:iCs/>
          <w:i/>
        </w:rPr>
        <w:t xml:space="preserve">digital twin</w:t>
      </w:r>
      <w:r>
        <w:t xml:space="preserve"> </w:t>
      </w:r>
      <w:r>
        <w:t xml:space="preserve">ou aprendizado de máquina requisitos para a aplicação do protocolo. Como proposição deste artigo, a arquitetura deve funcionar com planilhas, cadastros, inspeções e ordens de serviço e admitir integração progressiva a plataformas digitais ou módulos preditivos, condicionada à validação do desempenho em operação real. As aplicações do núcleo demonstram funções distintas: ANP difuso na avaliação de edifícios educacionais</w:t>
      </w:r>
      <w:r>
        <w:t xml:space="preserve"> </w:t>
      </w:r>
      <w:r>
        <w:t xml:space="preserve">(Alfalah et al. 2022)</w:t>
      </w:r>
      <w:r>
        <w:t xml:space="preserve">, Delphi modificado em gestão de</w:t>
      </w:r>
      <w:r>
        <w:t xml:space="preserve"> </w:t>
      </w:r>
      <w:r>
        <w:rPr>
          <w:iCs/>
          <w:i/>
        </w:rPr>
        <w:t xml:space="preserve">campus</w:t>
      </w:r>
      <w:r>
        <w:t xml:space="preserve"> </w:t>
      </w:r>
      <w:r>
        <w:t xml:space="preserve">(Naji, Gunduz, and Maki 2023)</w:t>
      </w:r>
      <w:r>
        <w:t xml:space="preserve"> </w:t>
      </w:r>
      <w:r>
        <w:t xml:space="preserve">e AHP, TOPSIS e otimização na alocação de prestadores públicos</w:t>
      </w:r>
      <w:r>
        <w:t xml:space="preserve"> </w:t>
      </w:r>
      <w:r>
        <w:t xml:space="preserve">(Masmoudi et al. 2026)</w:t>
      </w:r>
      <w:r>
        <w:t xml:space="preserve">.</w:t>
      </w:r>
    </w:p>
    <w:p>
      <w:pPr>
        <w:pStyle w:val="BodyText"/>
      </w:pPr>
      <w:r>
        <w:t xml:space="preserve">A leitura integral do lote incorporado permite responder diretamente à RQ6 sem confundir técnica computacional com governança decisória. Os estudos empíricos consultados empregam aprendizado de máquina para produzir variáveis operacionais: previsão de demanda de ventilação, com modelo treinado em três edifícios e economia de até 7,5% frente ao controle tradicional</w:t>
      </w:r>
      <w:r>
        <w:t xml:space="preserve"> </w:t>
      </w:r>
      <w:r>
        <w:t xml:space="preserve">(Motuzienė et al. 2025)</w:t>
      </w:r>
      <w:r>
        <w:t xml:space="preserve">; regressão em grafos para estimar vida útil de componentes, na qual a GCN alcançou</w:t>
      </w:r>
      <w:r>
        <w:t xml:space="preserve"> </w:t>
      </w:r>
      <m:oMath>
        <m:sSup>
          <m:e>
            <m:r>
              <m:t>R</m:t>
            </m:r>
          </m:e>
          <m:sup>
            <m:r>
              <m:t>2</m:t>
            </m:r>
          </m:sup>
        </m:sSup>
        <m:r>
          <m:rPr>
            <m:sty m:val="p"/>
          </m:rPr>
          <m:t>=</m:t>
        </m:r>
        <m:r>
          <m:t>0</m:t>
        </m:r>
        <m:r>
          <m:rPr>
            <m:sty m:val="p"/>
          </m:rPr>
          <m:t>,</m:t>
        </m:r>
        <m:r>
          <m:t>83</m:t>
        </m:r>
      </m:oMath>
      <w:r>
        <w:t xml:space="preserve"> </w:t>
      </w:r>
      <w:r>
        <w:t xml:space="preserve">(Wu and Mundt-Petersen 2025)</w:t>
      </w:r>
      <w:r>
        <w:t xml:space="preserve">; e previsão conjunta de eletricidade, gás e água, com separação entre treino, validação e teste e erros distintos por variável</w:t>
      </w:r>
      <w:r>
        <w:t xml:space="preserve"> </w:t>
      </w:r>
      <w:r>
        <w:t xml:space="preserve">(Suh and Chang 2012)</w:t>
      </w:r>
      <w:r>
        <w:t xml:space="preserve">. Esses resultados correspondem a previsão e otimização operacional; diagnósticos, classificação de danos e apoio à decisão também aparecem no lote, mas, quando o texto integral não estava disponível, permaneceram caracterizados somente pelo resumo.</w:t>
      </w:r>
    </w:p>
    <w:p>
      <w:pPr>
        <w:pStyle w:val="BodyText"/>
      </w:pPr>
      <w:r>
        <w:t xml:space="preserve">As duas revisões integrais consultadas reforçam os limites dessa evidência. A síntese de IoT e IA não utilizou dados empíricos próprios e identificou viés para o Norte Global, além de necessidades de interoperabilidade, privacidade, governança e avaliação do ciclo de vida</w:t>
      </w:r>
      <w:r>
        <w:t xml:space="preserve"> </w:t>
      </w:r>
      <w:r>
        <w:t xml:space="preserve">(Das 2025)</w:t>
      </w:r>
      <w:r>
        <w:t xml:space="preserve">. Na revisão de 76 estudos sobre ambientes internos conectados, 41 integraram energia, conforto e sustentabilidade, enquanto 35 omitiram pelo menos uma dessas dimensões; as faixas de economia divulgadas sintetizam aplicações heterogêneas e não representam o desempenho de um único modelo</w:t>
      </w:r>
      <w:r>
        <w:t xml:space="preserve"> </w:t>
      </w:r>
      <w:r>
        <w:t xml:space="preserve">(Alici 2026)</w:t>
      </w:r>
      <w:r>
        <w:t xml:space="preserve">. Assim, a resposta à RQ6 é que a busca de sensibilidade revela uma camada relevante de produção de evidências preditivas, diagnósticas e operacionais, porém não demonstra integração sistemática desses resultados com ponderação institucional, regras de veto ou métodos multicritério. O módulo computacional pode informar critérios; não substitui a decisão pública.</w:t>
      </w:r>
    </w:p>
    <w:p>
      <w:pPr>
        <w:pStyle w:val="BodyText"/>
      </w:pPr>
      <w:r>
        <w:t xml:space="preserve">A matriz comparativa dos 17 registros, preservada como material suplementar, classificou cada estudo pela função analítica predominante. Dez concentram-se em previsão ou previsão combinada à otimização, dois em diagnóstico e classificação de danos e cinco em síntese ou integração tecnológica. Essa distribuição não estima prevalência no campo, pois decorre de uma busca construída para maximizar a recuperação de IA e aprendizado de máquina. Ela esclarece, contudo, o lugar desses métodos na arquitetura proposta: em três estudos a saída se aproxima de uma ação operacional ou recomendação direta, enquanto nos demais funciona como estimativa, diagnóstico ou infraestrutura informacional que ainda requer critérios, preferências, restrições e responsabilização institucional. Nenhum dos 17 demonstrou uma cadeia completa que ligasse treinamento do modelo, validação externa, ponderação multicritério, regra de veto e decisão pública auditável.</w:t>
      </w:r>
    </w:p>
    <w:p>
      <w:pPr>
        <w:pStyle w:val="BodyText"/>
      </w:pPr>
      <w:r>
        <w:t xml:space="preserve">Além do lote de sensibilidade, as leituras integrais do núcleo original distinguem integração informacional, simulação e estruturação decisória. A revisão de 123 estudos não encontrou</w:t>
      </w:r>
      <w:r>
        <w:t xml:space="preserve"> </w:t>
      </w:r>
      <w:r>
        <w:rPr>
          <w:iCs/>
          <w:i/>
        </w:rPr>
        <w:t xml:space="preserve">digital twin</w:t>
      </w:r>
      <w:r>
        <w:t xml:space="preserve"> </w:t>
      </w:r>
      <w:r>
        <w:t xml:space="preserve">com controle, otimização e retroalimentação plenos</w:t>
      </w:r>
      <w:r>
        <w:t xml:space="preserve"> </w:t>
      </w:r>
      <w:r>
        <w:t xml:space="preserve">(Deng, Menassa, and Kamat 2021)</w:t>
      </w:r>
      <w:r>
        <w:t xml:space="preserve">; outros trabalhos propõem ontologia de ativos, BIM 7D e comparação de estratégias por simulação</w:t>
      </w:r>
      <w:r>
        <w:t xml:space="preserve"> </w:t>
      </w:r>
      <w:r>
        <w:t xml:space="preserve">(Espinosa Gispert et al. 2025; Goretti and Kaming 2023; Ferreira et al. 2020)</w:t>
      </w:r>
      <w:r>
        <w:t xml:space="preserve">. No plano decisório, foram identificados um sistema conceitual Lean Six Sigma sem validação empírica, uma avaliação sintética fuzzy e um modelo de raciocínio baseado em casos com Fuzzy-AHP</w:t>
      </w:r>
      <w:r>
        <w:t xml:space="preserve"> </w:t>
      </w:r>
      <w:r>
        <w:t xml:space="preserve">(Aldairi, Khan, and Munive-Hernandez 2017; Yoon and Cha 2018; Park, Kwon, and Ahn 2019)</w:t>
      </w:r>
      <w:r>
        <w:t xml:space="preserve">. Esses casos confirmam que menção a método, aplicação formal e validação são níveis analíticos distintos; não demonstram adoção institucional generalizada.</w:t>
      </w:r>
    </w:p>
    <w:bookmarkEnd w:id="51"/>
    <w:bookmarkStart w:id="52" w:name="sec:aplicabilidade"/>
    <w:p>
      <w:pPr>
        <w:pStyle w:val="Heading1"/>
      </w:pPr>
      <w:r>
        <w:t xml:space="preserve">Aplicabilidade a edificações públicas universitárias</w:t>
      </w:r>
    </w:p>
    <w:p>
      <w:pPr>
        <w:pStyle w:val="FirstParagraph"/>
      </w:pPr>
      <w:r>
        <w:t xml:space="preserve">Em resposta à RQ4, a caracterização documental identificou 101 registros sobre edificação genérica e 59 sobre portfólio predial. Entre as tipologias específicas, houve 17 registros sobre hospitais, 16 sobre edifícios comerciais, 15 residenciais, 14 universidades, dez</w:t>
      </w:r>
      <w:r>
        <w:t xml:space="preserve"> </w:t>
      </w:r>
      <w:r>
        <w:rPr>
          <w:iCs/>
          <w:i/>
        </w:rPr>
        <w:t xml:space="preserve">campus</w:t>
      </w:r>
      <w:r>
        <w:t xml:space="preserve">, seis patrimônios históricos, cinco edifícios públicos, cinco escolas e um museu. As categorias são respostas múltiplas; edificação genérica é uma categoria-guarda-chuva, não uma tipologia homogênea. Em um registro, o contexto não pôde ser identificado no resumo.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Contexto</w:t>
            </w:r>
          </w:p>
        </w:tc>
        <w:tc>
          <w:tcPr>
            <w:tcW w:type="dxa" w:w="3120"/>
          </w:tcPr>
          <w:p>
            <w:r>
              <w:rPr>
                <w:b/>
                <w:sz w:val="18"/>
              </w:rPr>
              <w:t>Registros</w:t>
            </w:r>
          </w:p>
        </w:tc>
        <w:tc>
          <w:tcPr>
            <w:tcW w:type="dxa" w:w="3120"/>
          </w:tcPr>
          <w:p>
            <w:r>
              <w:rPr>
                <w:b/>
                <w:sz w:val="18"/>
              </w:rPr>
              <w:t>% dos 121</w:t>
            </w:r>
          </w:p>
        </w:tc>
      </w:tr>
      <w:tr>
        <w:tc>
          <w:tcPr>
            <w:tcW w:type="dxa" w:w="3120"/>
          </w:tcPr>
          <w:p>
            <w:r>
              <w:rPr>
                <w:sz w:val="18"/>
              </w:rPr>
              <w:t>Edificação genérica</w:t>
            </w:r>
          </w:p>
        </w:tc>
        <w:tc>
          <w:tcPr>
            <w:tcW w:type="dxa" w:w="3120"/>
          </w:tcPr>
          <w:p>
            <w:r>
              <w:rPr>
                <w:sz w:val="18"/>
              </w:rPr>
              <w:t>101</w:t>
            </w:r>
          </w:p>
        </w:tc>
        <w:tc>
          <w:tcPr>
            <w:tcW w:type="dxa" w:w="3120"/>
          </w:tcPr>
          <w:p>
            <w:r>
              <w:rPr>
                <w:sz w:val="18"/>
              </w:rPr>
              <w:t>83,5</w:t>
            </w:r>
          </w:p>
        </w:tc>
      </w:tr>
      <w:tr>
        <w:tc>
          <w:tcPr>
            <w:tcW w:type="dxa" w:w="3120"/>
          </w:tcPr>
          <w:p>
            <w:r>
              <w:rPr>
                <w:sz w:val="18"/>
              </w:rPr>
              <w:t>Portfólio predial</w:t>
            </w:r>
          </w:p>
        </w:tc>
        <w:tc>
          <w:tcPr>
            <w:tcW w:type="dxa" w:w="3120"/>
          </w:tcPr>
          <w:p>
            <w:r>
              <w:rPr>
                <w:sz w:val="18"/>
              </w:rPr>
              <w:t>59</w:t>
            </w:r>
          </w:p>
        </w:tc>
        <w:tc>
          <w:tcPr>
            <w:tcW w:type="dxa" w:w="3120"/>
          </w:tcPr>
          <w:p>
            <w:r>
              <w:rPr>
                <w:sz w:val="18"/>
              </w:rPr>
              <w:t>48,8</w:t>
            </w:r>
          </w:p>
        </w:tc>
      </w:tr>
      <w:tr>
        <w:tc>
          <w:tcPr>
            <w:tcW w:type="dxa" w:w="3120"/>
          </w:tcPr>
          <w:p>
            <w:r>
              <w:rPr>
                <w:sz w:val="18"/>
              </w:rPr>
              <w:t>Hospital</w:t>
            </w:r>
          </w:p>
        </w:tc>
        <w:tc>
          <w:tcPr>
            <w:tcW w:type="dxa" w:w="3120"/>
          </w:tcPr>
          <w:p>
            <w:r>
              <w:rPr>
                <w:sz w:val="18"/>
              </w:rPr>
              <w:t>17</w:t>
            </w:r>
          </w:p>
        </w:tc>
        <w:tc>
          <w:tcPr>
            <w:tcW w:type="dxa" w:w="3120"/>
          </w:tcPr>
          <w:p>
            <w:r>
              <w:rPr>
                <w:sz w:val="18"/>
              </w:rPr>
              <w:t>14,0</w:t>
            </w:r>
          </w:p>
        </w:tc>
      </w:tr>
      <w:tr>
        <w:tc>
          <w:tcPr>
            <w:tcW w:type="dxa" w:w="3120"/>
          </w:tcPr>
          <w:p>
            <w:r>
              <w:rPr>
                <w:sz w:val="18"/>
              </w:rPr>
              <w:t>Edifício comercial</w:t>
            </w:r>
          </w:p>
        </w:tc>
        <w:tc>
          <w:tcPr>
            <w:tcW w:type="dxa" w:w="3120"/>
          </w:tcPr>
          <w:p>
            <w:r>
              <w:rPr>
                <w:sz w:val="18"/>
              </w:rPr>
              <w:t>16</w:t>
            </w:r>
          </w:p>
        </w:tc>
        <w:tc>
          <w:tcPr>
            <w:tcW w:type="dxa" w:w="3120"/>
          </w:tcPr>
          <w:p>
            <w:r>
              <w:rPr>
                <w:sz w:val="18"/>
              </w:rPr>
              <w:t>13,2</w:t>
            </w:r>
          </w:p>
        </w:tc>
      </w:tr>
      <w:tr>
        <w:tc>
          <w:tcPr>
            <w:tcW w:type="dxa" w:w="3120"/>
          </w:tcPr>
          <w:p>
            <w:r>
              <w:rPr>
                <w:sz w:val="18"/>
              </w:rPr>
              <w:t>Edifício residencial</w:t>
            </w:r>
          </w:p>
        </w:tc>
        <w:tc>
          <w:tcPr>
            <w:tcW w:type="dxa" w:w="3120"/>
          </w:tcPr>
          <w:p>
            <w:r>
              <w:rPr>
                <w:sz w:val="18"/>
              </w:rPr>
              <w:t>15</w:t>
            </w:r>
          </w:p>
        </w:tc>
        <w:tc>
          <w:tcPr>
            <w:tcW w:type="dxa" w:w="3120"/>
          </w:tcPr>
          <w:p>
            <w:r>
              <w:rPr>
                <w:sz w:val="18"/>
              </w:rPr>
              <w:t>12,4</w:t>
            </w:r>
          </w:p>
        </w:tc>
      </w:tr>
      <w:tr>
        <w:tc>
          <w:tcPr>
            <w:tcW w:type="dxa" w:w="3120"/>
          </w:tcPr>
          <w:p>
            <w:r>
              <w:rPr>
                <w:sz w:val="18"/>
              </w:rPr>
              <w:t>Universidade</w:t>
            </w:r>
          </w:p>
        </w:tc>
        <w:tc>
          <w:tcPr>
            <w:tcW w:type="dxa" w:w="3120"/>
          </w:tcPr>
          <w:p>
            <w:r>
              <w:rPr>
                <w:sz w:val="18"/>
              </w:rPr>
              <w:t>14</w:t>
            </w:r>
          </w:p>
        </w:tc>
        <w:tc>
          <w:tcPr>
            <w:tcW w:type="dxa" w:w="3120"/>
          </w:tcPr>
          <w:p>
            <w:r>
              <w:rPr>
                <w:sz w:val="18"/>
              </w:rPr>
              <w:t>11,6</w:t>
            </w:r>
          </w:p>
        </w:tc>
      </w:tr>
      <w:tr>
        <w:tc>
          <w:tcPr>
            <w:tcW w:type="dxa" w:w="3120"/>
          </w:tcPr>
          <w:p>
            <w:r>
              <w:rPr>
                <w:sz w:val="18"/>
              </w:rPr>
              <w:t>Campus</w:t>
            </w:r>
          </w:p>
        </w:tc>
        <w:tc>
          <w:tcPr>
            <w:tcW w:type="dxa" w:w="3120"/>
          </w:tcPr>
          <w:p>
            <w:r>
              <w:rPr>
                <w:sz w:val="18"/>
              </w:rPr>
              <w:t>10</w:t>
            </w:r>
          </w:p>
        </w:tc>
        <w:tc>
          <w:tcPr>
            <w:tcW w:type="dxa" w:w="3120"/>
          </w:tcPr>
          <w:p>
            <w:r>
              <w:rPr>
                <w:sz w:val="18"/>
              </w:rPr>
              <w:t>8,3</w:t>
            </w:r>
          </w:p>
        </w:tc>
      </w:tr>
      <w:tr>
        <w:tc>
          <w:tcPr>
            <w:tcW w:type="dxa" w:w="3120"/>
          </w:tcPr>
          <w:p>
            <w:r>
              <w:rPr>
                <w:sz w:val="18"/>
              </w:rPr>
              <w:t>Patrimônio histórico</w:t>
            </w:r>
          </w:p>
        </w:tc>
        <w:tc>
          <w:tcPr>
            <w:tcW w:type="dxa" w:w="3120"/>
          </w:tcPr>
          <w:p>
            <w:r>
              <w:rPr>
                <w:sz w:val="18"/>
              </w:rPr>
              <w:t>6</w:t>
            </w:r>
          </w:p>
        </w:tc>
        <w:tc>
          <w:tcPr>
            <w:tcW w:type="dxa" w:w="3120"/>
          </w:tcPr>
          <w:p>
            <w:r>
              <w:rPr>
                <w:sz w:val="18"/>
              </w:rPr>
              <w:t>5,0</w:t>
            </w:r>
          </w:p>
        </w:tc>
      </w:tr>
      <w:tr>
        <w:tc>
          <w:tcPr>
            <w:tcW w:type="dxa" w:w="3120"/>
          </w:tcPr>
          <w:p>
            <w:r>
              <w:rPr>
                <w:sz w:val="18"/>
              </w:rPr>
              <w:t>Edifício público</w:t>
            </w:r>
          </w:p>
        </w:tc>
        <w:tc>
          <w:tcPr>
            <w:tcW w:type="dxa" w:w="3120"/>
          </w:tcPr>
          <w:p>
            <w:r>
              <w:rPr>
                <w:sz w:val="18"/>
              </w:rPr>
              <w:t>5</w:t>
            </w:r>
          </w:p>
        </w:tc>
        <w:tc>
          <w:tcPr>
            <w:tcW w:type="dxa" w:w="3120"/>
          </w:tcPr>
          <w:p>
            <w:r>
              <w:rPr>
                <w:sz w:val="18"/>
              </w:rPr>
              <w:t>4,1</w:t>
            </w:r>
          </w:p>
        </w:tc>
      </w:tr>
      <w:tr>
        <w:tc>
          <w:tcPr>
            <w:tcW w:type="dxa" w:w="3120"/>
          </w:tcPr>
          <w:p>
            <w:r>
              <w:rPr>
                <w:sz w:val="18"/>
              </w:rPr>
              <w:t>Escola</w:t>
            </w:r>
          </w:p>
        </w:tc>
        <w:tc>
          <w:tcPr>
            <w:tcW w:type="dxa" w:w="3120"/>
          </w:tcPr>
          <w:p>
            <w:r>
              <w:rPr>
                <w:sz w:val="18"/>
              </w:rPr>
              <w:t>5</w:t>
            </w:r>
          </w:p>
        </w:tc>
        <w:tc>
          <w:tcPr>
            <w:tcW w:type="dxa" w:w="3120"/>
          </w:tcPr>
          <w:p>
            <w:r>
              <w:rPr>
                <w:sz w:val="18"/>
              </w:rPr>
              <w:t>4,1</w:t>
            </w:r>
          </w:p>
        </w:tc>
      </w:tr>
      <w:tr>
        <w:tc>
          <w:tcPr>
            <w:tcW w:type="dxa" w:w="3120"/>
          </w:tcPr>
          <w:p>
            <w:r>
              <w:rPr>
                <w:sz w:val="18"/>
              </w:rPr>
              <w:t>Museu</w:t>
            </w:r>
          </w:p>
        </w:tc>
        <w:tc>
          <w:tcPr>
            <w:tcW w:type="dxa" w:w="3120"/>
          </w:tcPr>
          <w:p>
            <w:r>
              <w:rPr>
                <w:sz w:val="18"/>
              </w:rPr>
              <w:t>1</w:t>
            </w:r>
          </w:p>
        </w:tc>
        <w:tc>
          <w:tcPr>
            <w:tcW w:type="dxa" w:w="3120"/>
          </w:tcPr>
          <w:p>
            <w:r>
              <w:rPr>
                <w:sz w:val="18"/>
              </w:rPr>
              <w:t>0,8</w:t>
            </w:r>
          </w:p>
        </w:tc>
      </w:tr>
      <w:tr>
        <w:tc>
          <w:tcPr>
            <w:tcW w:type="dxa" w:w="3120"/>
          </w:tcPr>
          <w:p>
            <w:r>
              <w:rPr>
                <w:sz w:val="18"/>
              </w:rPr>
              <w:t>Não identificado no resumo</w:t>
            </w:r>
          </w:p>
        </w:tc>
        <w:tc>
          <w:tcPr>
            <w:tcW w:type="dxa" w:w="3120"/>
          </w:tcPr>
          <w:p>
            <w:r>
              <w:rPr>
                <w:sz w:val="18"/>
              </w:rPr>
              <w:t>1</w:t>
            </w:r>
          </w:p>
        </w:tc>
        <w:tc>
          <w:tcPr>
            <w:tcW w:type="dxa" w:w="3120"/>
          </w:tcPr>
          <w:p>
            <w:r>
              <w:rPr>
                <w:sz w:val="18"/>
              </w:rPr>
              <w:t>0,8</w:t>
            </w:r>
          </w:p>
        </w:tc>
      </w:tr>
    </w:tbl>
    <w:p/>
    <w:p>
      <w:pPr>
        <w:pStyle w:val="BodyText"/>
      </w:pPr>
      <w:r>
        <w:t xml:space="preserve">Em instituições de ensino, a gestão sustentável combina desempenho físico, usuários e capacidade administrativa. Estudos de caso em universidades públicas documentaram predomínio corretivo, registros fragmentados, ausência de indicadores ou inspeções periódicas e fragilidades na manutenção preventiva</w:t>
      </w:r>
      <w:r>
        <w:t xml:space="preserve"> </w:t>
      </w:r>
      <w:r>
        <w:t xml:space="preserve">(Lateef, Khamidi, and Idrus 2010; Barbosa et al. 2020)</w:t>
      </w:r>
      <w:r>
        <w:t xml:space="preserve">. A literatura identifica fatores críticos em universidades</w:t>
      </w:r>
      <w:r>
        <w:t xml:space="preserve"> </w:t>
      </w:r>
      <w:r>
        <w:t xml:space="preserve">(Awuzie and Isa 2017)</w:t>
      </w:r>
      <w:r>
        <w:t xml:space="preserve">, critérios ambientais, econômicos e sociais em edifícios educacionais</w:t>
      </w:r>
      <w:r>
        <w:t xml:space="preserve"> </w:t>
      </w:r>
      <w:r>
        <w:t xml:space="preserve">(Alfalah et al. 2022)</w:t>
      </w:r>
      <w:r>
        <w:t xml:space="preserve">, indicadores operacionais de</w:t>
      </w:r>
      <w:r>
        <w:t xml:space="preserve"> </w:t>
      </w:r>
      <w:r>
        <w:rPr>
          <w:iCs/>
          <w:i/>
        </w:rPr>
        <w:t xml:space="preserve">campus</w:t>
      </w:r>
      <w:r>
        <w:t xml:space="preserve"> </w:t>
      </w:r>
      <w:r>
        <w:t xml:space="preserve">(Naji, Gunduz, and Maki 2023)</w:t>
      </w:r>
      <w:r>
        <w:t xml:space="preserve">, previsão orçamentária e uso de ordens de serviço</w:t>
      </w:r>
      <w:r>
        <w:t xml:space="preserve"> </w:t>
      </w:r>
      <w:r>
        <w:t xml:space="preserve">(Martins and Espejo 2024; Morais, Paula, and Reis 2023)</w:t>
      </w:r>
      <w:r>
        <w:t xml:space="preserve">. O produto deve, portanto, registrar fonte e data dos dados, ausências, unidade comparada, vetos e histórico de pesos, usando entradas simples e exportáveis para prestação de contas.</w:t>
      </w:r>
    </w:p>
    <w:p>
      <w:pPr>
        <w:pStyle w:val="BodyText"/>
      </w:pPr>
      <w:r>
        <w:t xml:space="preserve">Em resposta à RQ5, a baixa frequência de universidade,</w:t>
      </w:r>
      <w:r>
        <w:t xml:space="preserve"> </w:t>
      </w:r>
      <w:r>
        <w:rPr>
          <w:iCs/>
          <w:i/>
        </w:rPr>
        <w:t xml:space="preserve">campus</w:t>
      </w:r>
      <w:r>
        <w:t xml:space="preserve"> </w:t>
      </w:r>
      <w:r>
        <w:t xml:space="preserve">e edifício público limita a evidência diretamente transferível a portfólios heterogêneos, com restrições orçamentárias, continuidade acadêmica e múltiplos usuários. A busca de sensibilidade para inteligência artificial (Seção </w:t>
      </w:r>
      <w:hyperlink w:anchor="sec:buscaia">
        <w:r>
          <w:rPr>
            <w:rStyle w:val="Hyperlink"/>
          </w:rPr>
          <w:t xml:space="preserve">3.4</w:t>
        </w:r>
      </w:hyperlink>
      <w:r>
        <w:t xml:space="preserve">) elevou o contexto universitário de 11 para 14 registros, sem alterar essa conclusão: os três estudos promovidos ao núcleo vêm do mesmo campus universitário taiwanês (</w:t>
      </w:r>
      <w:r>
        <w:rPr>
          <w:iCs/>
          <w:i/>
        </w:rPr>
        <w:t xml:space="preserve">National Taiwan University</w:t>
      </w:r>
      <w:r>
        <w:t xml:space="preserve">), representando concentração em uma única instituição, não diversificação do contexto universitário. Em texto completo, a manutenção sustentável foi associada à resiliência institucional e aos ODS 4, 9 e 11</w:t>
      </w:r>
      <w:r>
        <w:t xml:space="preserve"> </w:t>
      </w:r>
      <w:r>
        <w:t xml:space="preserve">(Ndukuba 2025)</w:t>
      </w:r>
      <w:r>
        <w:t xml:space="preserve">; um instrumento estrangeiro exigiu adaptação e concordância profissional em hospital público</w:t>
      </w:r>
      <w:r>
        <w:t xml:space="preserve"> </w:t>
      </w:r>
      <w:r>
        <w:t xml:space="preserve">(Talib, Rajagopalan, and Yang 2013)</w:t>
      </w:r>
      <w:r>
        <w:t xml:space="preserve">; e três projetos mostraram perda de informação na transição entre construção e operação, enfrentada pela integração de BIM,</w:t>
      </w:r>
      <w:r>
        <w:t xml:space="preserve"> </w:t>
      </w:r>
      <w:r>
        <w:rPr>
          <w:iCs/>
          <w:i/>
        </w:rPr>
        <w:t xml:space="preserve">Soft Landings</w:t>
      </w:r>
      <w:r>
        <w:t xml:space="preserve"> </w:t>
      </w:r>
      <w:r>
        <w:t xml:space="preserve">e comunicação</w:t>
      </w:r>
      <w:r>
        <w:t xml:space="preserve"> </w:t>
      </w:r>
      <w:r>
        <w:t xml:space="preserve">(Tan, Zaman, and Sutrisna 2018)</w:t>
      </w:r>
      <w:r>
        <w:t xml:space="preserve">. Esses achados sustentam governança da informação e validação contextual, sem equivaler a validação do protocolo proposto.</w:t>
      </w:r>
    </w:p>
    <w:bookmarkEnd w:id="52"/>
    <w:bookmarkStart w:id="59" w:name="sec:matriz"/>
    <w:p>
      <w:pPr>
        <w:pStyle w:val="Heading1"/>
      </w:pPr>
      <w:r>
        <w:t xml:space="preserve">Matriz analítica conceitual informada pela síntese da literatura</w:t>
      </w:r>
    </w:p>
    <w:p>
      <w:pPr>
        <w:pStyle w:val="FirstParagraph"/>
      </w:pPr>
      <w:r>
        <w:t xml:space="preserve">O Gráfico </w:t>
      </w:r>
      <w:hyperlink w:anchor="fig:heatmap">
        <w:r>
          <w:rPr>
            <w:rStyle w:val="Hyperlink"/>
          </w:rPr>
          <w:t xml:space="preserve">9</w:t>
        </w:r>
      </w:hyperlink>
      <w:r>
        <w:t xml:space="preserve"> </w:t>
      </w:r>
      <w:r>
        <w:t xml:space="preserve">apresenta a coocorrência documental entre os dez critérios e os dez instrumentos de apoio à decisão mais frequentes. Desempenho operacional e</w:t>
      </w:r>
      <w:r>
        <w:t xml:space="preserve"> </w:t>
      </w:r>
      <w:r>
        <w:rPr>
          <w:iCs/>
          <w:i/>
        </w:rPr>
        <w:t xml:space="preserve">framework</w:t>
      </w:r>
      <w:r>
        <w:t xml:space="preserve"> </w:t>
      </w:r>
      <w:r>
        <w:t xml:space="preserve">aparecem conjuntamente em 90 registros; informação e dados têm 75 coocorrências com</w:t>
      </w:r>
      <w:r>
        <w:t xml:space="preserve"> </w:t>
      </w:r>
      <w:r>
        <w:rPr>
          <w:iCs/>
          <w:i/>
        </w:rPr>
        <w:t xml:space="preserve">framework</w:t>
      </w:r>
      <w:r>
        <w:t xml:space="preserve"> </w:t>
      </w:r>
      <w:r>
        <w:t xml:space="preserve">e 28 com BIM; custo e</w:t>
      </w:r>
      <w:r>
        <w:t xml:space="preserve"> </w:t>
      </w:r>
      <w:r>
        <w:rPr>
          <w:iCs/>
          <w:i/>
        </w:rPr>
        <w:t xml:space="preserve">framework</w:t>
      </w:r>
      <w:r>
        <w:t xml:space="preserve"> </w:t>
      </w:r>
      <w:r>
        <w:t xml:space="preserve">aparecem em 57; e vida útil e custo do ciclo de vida, em 16. Essas relações registram codificação simultânea, sem comprovar operacionalização conjunta, associação estatística ou causalidade.</w:t>
      </w:r>
    </w:p>
    <w:p>
      <w:pPr>
        <w:pStyle w:val="CaptionedFigure"/>
      </w:pPr>
      <w:r>
        <w:drawing>
          <wp:inline>
            <wp:extent cx="5334000" cy="3657600"/>
            <wp:effectExtent b="0" l="0" r="0" t="0"/>
            <wp:docPr descr="" title="" id="54" name="Picture"/>
            <a:graphic>
              <a:graphicData uri="http://schemas.openxmlformats.org/drawingml/2006/picture">
                <pic:pic>
                  <pic:nvPicPr>
                    <pic:cNvPr descr="figuras/figura13_heatmap_criterios_metodos_nucleo_ampliado_121.png" id="55" name="Picture"/>
                    <pic:cNvPicPr>
                      <a:picLocks noChangeArrowheads="1" noChangeAspect="1"/>
                    </pic:cNvPicPr>
                  </pic:nvPicPr>
                  <pic:blipFill>
                    <a:blip r:embed="rId53"/>
                    <a:stretch>
                      <a:fillRect/>
                    </a:stretch>
                  </pic:blipFill>
                  <pic:spPr bwMode="auto">
                    <a:xfrm>
                      <a:off x="0" y="0"/>
                      <a:ext cx="5334000" cy="3657600"/>
                    </a:xfrm>
                    <a:prstGeom prst="rect">
                      <a:avLst/>
                    </a:prstGeom>
                    <a:noFill/>
                    <a:ln w="9525">
                      <a:noFill/>
                      <a:headEnd/>
                      <a:tailEnd/>
                    </a:ln>
                  </pic:spPr>
                </pic:pic>
              </a:graphicData>
            </a:graphic>
          </wp:inline>
        </w:drawing>
      </w:r>
    </w:p>
    <w:p>
      <w:pPr>
        <w:pStyle w:val="ImageCaption"/>
      </w:pPr>
      <w:r>
        <w:t xml:space="preserve">Coocorrência entre critérios de priorização e instrumentos de apoio à decisão</w:t>
      </w:r>
    </w:p>
    <w:p>
      <w:pPr>
        <w:pStyle w:val="BodyText"/>
      </w:pPr>
      <w:r>
        <w:t xml:space="preserve">O Gráfico </w:t>
      </w:r>
      <w:hyperlink w:anchor="fig:matrizanalitica">
        <w:r>
          <w:rPr>
            <w:rStyle w:val="Hyperlink"/>
          </w:rPr>
          <w:t xml:space="preserve">10</w:t>
        </w:r>
      </w:hyperlink>
      <w:r>
        <w:t xml:space="preserve"> </w:t>
      </w:r>
      <w:r>
        <w:t xml:space="preserve">reorganiza as coocorrências em cinco dimensões. A técnica-operacional apresenta 100 coocorrências com</w:t>
      </w:r>
      <w:r>
        <w:t xml:space="preserve"> </w:t>
      </w:r>
      <w:r>
        <w:rPr>
          <w:iCs/>
          <w:i/>
        </w:rPr>
        <w:t xml:space="preserve">framework</w:t>
      </w:r>
      <w:r>
        <w:t xml:space="preserve">, 28 com</w:t>
      </w:r>
      <w:r>
        <w:t xml:space="preserve"> </w:t>
      </w:r>
      <w:r>
        <w:rPr>
          <w:iCs/>
          <w:i/>
        </w:rPr>
        <w:t xml:space="preserve">decision support</w:t>
      </w:r>
      <w:r>
        <w:t xml:space="preserve"> </w:t>
      </w:r>
      <w:r>
        <w:t xml:space="preserve">e 28 com BIM; a institucional tem 88 com</w:t>
      </w:r>
      <w:r>
        <w:t xml:space="preserve"> </w:t>
      </w:r>
      <w:r>
        <w:rPr>
          <w:iCs/>
          <w:i/>
        </w:rPr>
        <w:t xml:space="preserve">framework</w:t>
      </w:r>
      <w:r>
        <w:t xml:space="preserve">, seguida da ambiental com 81, da econômica com 56 e da social com 54. A dimensão ciclo de vida, identificada em 65 registros, não forma grupo independente: ela funciona como eixo transversal entre desempenho, custos e impactos no tempo.</w:t>
      </w:r>
    </w:p>
    <w:p>
      <w:pPr>
        <w:pStyle w:val="CaptionedFigure"/>
      </w:pPr>
      <w:r>
        <w:drawing>
          <wp:inline>
            <wp:extent cx="5334000" cy="2844799"/>
            <wp:effectExtent b="0" l="0" r="0" t="0"/>
            <wp:docPr descr="" title="" id="57" name="Picture"/>
            <a:graphic>
              <a:graphicData uri="http://schemas.openxmlformats.org/drawingml/2006/picture">
                <pic:pic>
                  <pic:nvPicPr>
                    <pic:cNvPr descr="figuras/figura14_matriz_analitica_dimensao_metodo_nucleo_ampliado_121.png" id="58" name="Picture"/>
                    <pic:cNvPicPr>
                      <a:picLocks noChangeArrowheads="1" noChangeAspect="1"/>
                    </pic:cNvPicPr>
                  </pic:nvPicPr>
                  <pic:blipFill>
                    <a:blip r:embed="rId56"/>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Matriz de coocorrência entre dimensões de sustentabilidade e instrumentos de apoio à decisão</w:t>
      </w:r>
    </w:p>
    <w:p>
      <w:pPr>
        <w:pStyle w:val="BodyText"/>
      </w:pPr>
      <w:r>
        <w:t xml:space="preserve">A matriz distingue evidência extraída de especificação proposta. Energia, emissões, água e resíduos foram associados à dimensão ambiental; custo, à econômica; segurança, conforto e satisfação, à social; e desempenho, informação, vida útil, risco, condição, manutenibilidade e qualidade do serviço, à técnica-operacional. A dimensão institucional foi identificada em 97 registros, mas conformidade, governança e capacidade de execução são desdobramentos candidatos, sem frequências individualizadas. As frequências não constituem pesos da matriz.</w:t>
      </w:r>
    </w:p>
    <w:p>
      <w:pPr>
        <w:pStyle w:val="BodyText"/>
      </w:pPr>
      <w:r>
        <w:t xml:space="preserve">A Tabela </w:t>
      </w:r>
      <w:hyperlink w:anchor="tab:protocolooperacional">
        <w:r>
          <w:rPr>
            <w:rStyle w:val="Hyperlink"/>
          </w:rPr>
          <w:t xml:space="preserve">10</w:t>
        </w:r>
      </w:hyperlink>
      <w:r>
        <w:t xml:space="preserve"> </w:t>
      </w:r>
      <w:r>
        <w:t xml:space="preserve">explicita por que cada indicador candidato entrou no protocolo, combinando recorrência no núcleo temático, conexões bibliométricas e evidências específicas dos estudos lidos integralmente. A Tabela </w:t>
      </w:r>
      <w:hyperlink w:anchor="tab:especificacaoindicadores">
        <w:r>
          <w:rPr>
            <w:rStyle w:val="Hyperlink"/>
          </w:rPr>
          <w:t xml:space="preserve">11</w:t>
        </w:r>
      </w:hyperlink>
      <w:r>
        <w:t xml:space="preserve"> </w:t>
      </w:r>
      <w:r>
        <w:t xml:space="preserve">detalha a especificação operacional correspondente, com indicador, fonte dos dados, periodicidade e direção de preferência.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sz w:val="18"/>
              </w:rPr>
              <w:t>Dimensão e critério</w:t>
            </w:r>
          </w:p>
        </w:tc>
        <w:tc>
          <w:tcPr>
            <w:tcW w:type="dxa" w:w="4680"/>
          </w:tcPr>
          <w:p>
            <w:r>
              <w:rPr>
                <w:b/>
                <w:sz w:val="18"/>
              </w:rPr>
              <w:t>Evidência da revisão</w:t>
            </w:r>
          </w:p>
        </w:tc>
      </w:tr>
      <w:tr>
        <w:tc>
          <w:tcPr>
            <w:tcW w:type="dxa" w:w="4680"/>
          </w:tcPr>
          <w:p>
            <w:r>
              <w:rPr>
                <w:sz w:val="18"/>
              </w:rPr>
              <w:t>Técnica-operacional: desempenho e falha</w:t>
            </w:r>
          </w:p>
        </w:tc>
        <w:tc>
          <w:tcPr>
            <w:tcW w:type="dxa" w:w="4680"/>
          </w:tcPr>
          <w:p>
            <w:r>
              <w:rPr>
                <w:sz w:val="18"/>
              </w:rPr>
              <w:t>Desempenho em 99 registros; gestão de facilidades conectada a operação e manutenção na rede.</w:t>
            </w:r>
          </w:p>
        </w:tc>
      </w:tr>
      <w:tr>
        <w:tc>
          <w:tcPr>
            <w:tcW w:type="dxa" w:w="4680"/>
          </w:tcPr>
          <w:p>
            <w:r>
              <w:rPr>
                <w:sz w:val="18"/>
              </w:rPr>
              <w:t>Técnica-operacional: informação e dados</w:t>
            </w:r>
          </w:p>
        </w:tc>
        <w:tc>
          <w:tcPr>
            <w:tcW w:type="dxa" w:w="4680"/>
          </w:tcPr>
          <w:p>
            <w:r>
              <w:rPr>
                <w:sz w:val="18"/>
              </w:rPr>
              <w:t>Informação em 82 registros; BIM em 28 e digital twin em 11; perdas de informação observadas por Tan, Zaman, and Sutrisna (2018).</w:t>
            </w:r>
          </w:p>
        </w:tc>
      </w:tr>
      <w:tr>
        <w:tc>
          <w:tcPr>
            <w:tcW w:type="dxa" w:w="4680"/>
          </w:tcPr>
          <w:p>
            <w:r>
              <w:rPr>
                <w:sz w:val="18"/>
              </w:rPr>
              <w:t>Técnica-operacional: condição e vida útil</w:t>
            </w:r>
          </w:p>
        </w:tc>
        <w:tc>
          <w:tcPr>
            <w:tcW w:type="dxa" w:w="4680"/>
          </w:tcPr>
          <w:p>
            <w:r>
              <w:rPr>
                <w:sz w:val="18"/>
              </w:rPr>
              <w:t>Condição em 34, vida útil em 44 e ciclo de vida em 65; manutenibilidade apoiada por Othman and Kamal (2023).</w:t>
            </w:r>
          </w:p>
        </w:tc>
      </w:tr>
      <w:tr>
        <w:tc>
          <w:tcPr>
            <w:tcW w:type="dxa" w:w="4680"/>
          </w:tcPr>
          <w:p>
            <w:r>
              <w:rPr>
                <w:sz w:val="18"/>
              </w:rPr>
              <w:t>Institucional: conformidade</w:t>
            </w:r>
          </w:p>
        </w:tc>
        <w:tc>
          <w:tcPr>
            <w:tcW w:type="dxa" w:w="4680"/>
          </w:tcPr>
          <w:p>
            <w:r>
              <w:rPr>
                <w:sz w:val="18"/>
              </w:rPr>
              <w:t>Dimensão institucional em 97 registros; adaptação contextual necessária em Talib, Rajagopalan, and Yang (2013).</w:t>
            </w:r>
          </w:p>
        </w:tc>
      </w:tr>
      <w:tr>
        <w:tc>
          <w:tcPr>
            <w:tcW w:type="dxa" w:w="4680"/>
          </w:tcPr>
          <w:p>
            <w:r>
              <w:rPr>
                <w:sz w:val="18"/>
              </w:rPr>
              <w:t>Econômica: custo</w:t>
            </w:r>
          </w:p>
        </w:tc>
        <w:tc>
          <w:tcPr>
            <w:tcW w:type="dxa" w:w="4680"/>
          </w:tcPr>
          <w:p>
            <w:r>
              <w:rPr>
                <w:sz w:val="18"/>
              </w:rPr>
              <w:t>Custo em 63 registros; previsão e ciclo de vida em Kim et al. (2018; Nägeli et al. 2019).</w:t>
            </w:r>
          </w:p>
        </w:tc>
      </w:tr>
      <w:tr>
        <w:tc>
          <w:tcPr>
            <w:tcW w:type="dxa" w:w="4680"/>
          </w:tcPr>
          <w:p>
            <w:r>
              <w:rPr>
                <w:sz w:val="18"/>
              </w:rPr>
              <w:t>Ambiental: energia</w:t>
            </w:r>
          </w:p>
        </w:tc>
        <w:tc>
          <w:tcPr>
            <w:tcW w:type="dxa" w:w="4680"/>
          </w:tcPr>
          <w:p>
            <w:r>
              <w:rPr>
                <w:sz w:val="18"/>
              </w:rPr>
              <w:t>Dimensão ambiental em 92 e energia em 44 registros; crescimento de ciclo de vida e carbono no período recente.</w:t>
            </w:r>
          </w:p>
        </w:tc>
      </w:tr>
      <w:tr>
        <w:tc>
          <w:tcPr>
            <w:tcW w:type="dxa" w:w="4680"/>
          </w:tcPr>
          <w:p>
            <w:r>
              <w:rPr>
                <w:sz w:val="18"/>
              </w:rPr>
              <w:t>Social: impacto nos usuários</w:t>
            </w:r>
          </w:p>
        </w:tc>
        <w:tc>
          <w:tcPr>
            <w:tcW w:type="dxa" w:w="4680"/>
          </w:tcPr>
          <w:p>
            <w:r>
              <w:rPr>
                <w:sz w:val="18"/>
              </w:rPr>
              <w:t>Dimensão social em 59; conforto em 22, segurança em 18 e satisfação em nove registros.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Critério</w:t>
            </w:r>
          </w:p>
        </w:tc>
        <w:tc>
          <w:tcPr>
            <w:tcW w:type="dxa" w:w="2340"/>
          </w:tcPr>
          <w:p>
            <w:r>
              <w:rPr>
                <w:b/>
                <w:sz w:val="18"/>
              </w:rPr>
              <w:t>Indicador candidato</w:t>
            </w:r>
          </w:p>
        </w:tc>
        <w:tc>
          <w:tcPr>
            <w:tcW w:type="dxa" w:w="2340"/>
          </w:tcPr>
          <w:p>
            <w:r>
              <w:rPr>
                <w:b/>
                <w:sz w:val="18"/>
              </w:rPr>
              <w:t>Fonte</w:t>
            </w:r>
          </w:p>
        </w:tc>
        <w:tc>
          <w:tcPr>
            <w:tcW w:type="dxa" w:w="2340"/>
          </w:tcPr>
          <w:p>
            <w:r>
              <w:rPr>
                <w:b/>
                <w:sz w:val="18"/>
              </w:rPr>
              <w:t>Periodicidade; preferência</w:t>
            </w:r>
          </w:p>
        </w:tc>
      </w:tr>
      <w:tr>
        <w:tc>
          <w:tcPr>
            <w:tcW w:type="dxa" w:w="2340"/>
          </w:tcPr>
          <w:p>
            <w:r>
              <w:rPr>
                <w:sz w:val="18"/>
              </w:rPr>
              <w:t>Desempenho e falha</w:t>
            </w:r>
          </w:p>
        </w:tc>
        <w:tc>
          <w:tcPr>
            <w:tcW w:type="dxa" w:w="2340"/>
          </w:tcPr>
          <w:p>
            <w:r>
              <w:rPr>
                <w:sz w:val="18"/>
              </w:rPr>
              <w:t>Ordens recorrentes por sistema, % das ordens</w:t>
            </w:r>
          </w:p>
        </w:tc>
        <w:tc>
          <w:tcPr>
            <w:tcW w:type="dxa" w:w="2340"/>
          </w:tcPr>
          <w:p>
            <w:r>
              <w:rPr>
                <w:sz w:val="18"/>
              </w:rPr>
              <w:t>Ordens de serviço</w:t>
            </w:r>
          </w:p>
        </w:tc>
        <w:tc>
          <w:tcPr>
            <w:tcW w:type="dxa" w:w="2340"/>
          </w:tcPr>
          <w:p>
            <w:r>
              <w:rPr>
                <w:sz w:val="18"/>
              </w:rPr>
              <w:t>Mensal; menor</w:t>
            </w:r>
          </w:p>
        </w:tc>
      </w:tr>
      <w:tr>
        <w:tc>
          <w:tcPr>
            <w:tcW w:type="dxa" w:w="2340"/>
          </w:tcPr>
          <w:p>
            <w:r>
              <w:rPr>
                <w:sz w:val="18"/>
              </w:rPr>
              <w:t>Informação e dados</w:t>
            </w:r>
          </w:p>
        </w:tc>
        <w:tc>
          <w:tcPr>
            <w:tcW w:type="dxa" w:w="2340"/>
          </w:tcPr>
          <w:p>
            <w:r>
              <w:rPr>
                <w:sz w:val="18"/>
              </w:rPr>
              <w:t>Ativos com cadastro e histórico completos, %</w:t>
            </w:r>
          </w:p>
        </w:tc>
        <w:tc>
          <w:tcPr>
            <w:tcW w:type="dxa" w:w="2340"/>
          </w:tcPr>
          <w:p>
            <w:r>
              <w:rPr>
                <w:sz w:val="18"/>
              </w:rPr>
              <w:t>Cadastro e ordens</w:t>
            </w:r>
          </w:p>
        </w:tc>
        <w:tc>
          <w:tcPr>
            <w:tcW w:type="dxa" w:w="2340"/>
          </w:tcPr>
          <w:p>
            <w:r>
              <w:rPr>
                <w:sz w:val="18"/>
              </w:rPr>
              <w:t>Trimestral; maior</w:t>
            </w:r>
          </w:p>
        </w:tc>
      </w:tr>
      <w:tr>
        <w:tc>
          <w:tcPr>
            <w:tcW w:type="dxa" w:w="2340"/>
          </w:tcPr>
          <w:p>
            <w:r>
              <w:rPr>
                <w:sz w:val="18"/>
              </w:rPr>
              <w:t>Condição e vida útil</w:t>
            </w:r>
          </w:p>
        </w:tc>
        <w:tc>
          <w:tcPr>
            <w:tcW w:type="dxa" w:w="2340"/>
          </w:tcPr>
          <w:p>
            <w:r>
              <w:rPr>
                <w:sz w:val="18"/>
              </w:rPr>
              <w:t>Índice de condição, escala institucional</w:t>
            </w:r>
          </w:p>
        </w:tc>
        <w:tc>
          <w:tcPr>
            <w:tcW w:type="dxa" w:w="2340"/>
          </w:tcPr>
          <w:p>
            <w:r>
              <w:rPr>
                <w:sz w:val="18"/>
              </w:rPr>
              <w:t>Inspeção e cadastro</w:t>
            </w:r>
          </w:p>
        </w:tc>
        <w:tc>
          <w:tcPr>
            <w:tcW w:type="dxa" w:w="2340"/>
          </w:tcPr>
          <w:p>
            <w:r>
              <w:rPr>
                <w:sz w:val="18"/>
              </w:rPr>
              <w:t>Semestral; maior</w:t>
            </w:r>
          </w:p>
        </w:tc>
      </w:tr>
      <w:tr>
        <w:tc>
          <w:tcPr>
            <w:tcW w:type="dxa" w:w="2340"/>
          </w:tcPr>
          <w:p>
            <w:r>
              <w:rPr>
                <w:sz w:val="18"/>
              </w:rPr>
              <w:t>Conformidade</w:t>
            </w:r>
          </w:p>
        </w:tc>
        <w:tc>
          <w:tcPr>
            <w:tcW w:type="dxa" w:w="2340"/>
          </w:tcPr>
          <w:p>
            <w:r>
              <w:rPr>
                <w:sz w:val="18"/>
              </w:rPr>
              <w:t>Requisitos atendidos, %</w:t>
            </w:r>
          </w:p>
        </w:tc>
        <w:tc>
          <w:tcPr>
            <w:tcW w:type="dxa" w:w="2340"/>
          </w:tcPr>
          <w:p>
            <w:r>
              <w:rPr>
                <w:sz w:val="18"/>
              </w:rPr>
              <w:t>Laudos e auditorias</w:t>
            </w:r>
          </w:p>
        </w:tc>
        <w:tc>
          <w:tcPr>
            <w:tcW w:type="dxa" w:w="2340"/>
          </w:tcPr>
          <w:p>
            <w:r>
              <w:rPr>
                <w:sz w:val="18"/>
              </w:rPr>
              <w:t>Anual; maior</w:t>
            </w:r>
          </w:p>
        </w:tc>
      </w:tr>
      <w:tr>
        <w:tc>
          <w:tcPr>
            <w:tcW w:type="dxa" w:w="2340"/>
          </w:tcPr>
          <w:p>
            <w:r>
              <w:rPr>
                <w:sz w:val="18"/>
              </w:rPr>
              <w:t>Custo</w:t>
            </w:r>
          </w:p>
        </w:tc>
        <w:tc>
          <w:tcPr>
            <w:tcW w:type="dxa" w:w="2340"/>
          </w:tcPr>
          <w:p>
            <w:r>
              <w:rPr>
                <w:sz w:val="18"/>
              </w:rPr>
              <w:t>Custo estimado por área, R$/m</w:t>
            </w:r>
          </w:p>
        </w:tc>
        <w:tc>
          <w:tcPr>
            <w:tcW w:type="dxa" w:w="2340"/>
          </w:tcPr>
          <w:p>
            <w:r>
              <w:rPr>
                <w:sz w:val="18"/>
              </w:rPr>
              <w:t>Orçamentos e SINAPI</w:t>
            </w:r>
          </w:p>
        </w:tc>
        <w:tc>
          <w:tcPr>
            <w:tcW w:type="dxa" w:w="2340"/>
          </w:tcPr>
          <w:p>
            <w:r>
              <w:rPr>
                <w:sz w:val="18"/>
              </w:rPr>
              <w:t>Semestral; menor</w:t>
            </w:r>
          </w:p>
        </w:tc>
      </w:tr>
      <w:tr>
        <w:tc>
          <w:tcPr>
            <w:tcW w:type="dxa" w:w="2340"/>
          </w:tcPr>
          <w:p>
            <w:r>
              <w:rPr>
                <w:sz w:val="18"/>
              </w:rPr>
              <w:t>Energia</w:t>
            </w:r>
          </w:p>
        </w:tc>
        <w:tc>
          <w:tcPr>
            <w:tcW w:type="dxa" w:w="2340"/>
          </w:tcPr>
          <w:p>
            <w:r>
              <w:rPr>
                <w:sz w:val="18"/>
              </w:rPr>
              <w:t>Consumo anual por área, kWh/m/ano</w:t>
            </w:r>
          </w:p>
        </w:tc>
        <w:tc>
          <w:tcPr>
            <w:tcW w:type="dxa" w:w="2340"/>
          </w:tcPr>
          <w:p>
            <w:r>
              <w:rPr>
                <w:sz w:val="18"/>
              </w:rPr>
              <w:t>Faturas ou medidores</w:t>
            </w:r>
          </w:p>
        </w:tc>
        <w:tc>
          <w:tcPr>
            <w:tcW w:type="dxa" w:w="2340"/>
          </w:tcPr>
          <w:p>
            <w:r>
              <w:rPr>
                <w:sz w:val="18"/>
              </w:rPr>
              <w:t>Mensal; menor</w:t>
            </w:r>
          </w:p>
        </w:tc>
      </w:tr>
      <w:tr>
        <w:tc>
          <w:tcPr>
            <w:tcW w:type="dxa" w:w="2340"/>
          </w:tcPr>
          <w:p>
            <w:r>
              <w:rPr>
                <w:sz w:val="18"/>
              </w:rPr>
              <w:t>Impacto nos usuários</w:t>
            </w:r>
          </w:p>
        </w:tc>
        <w:tc>
          <w:tcPr>
            <w:tcW w:type="dxa" w:w="2340"/>
          </w:tcPr>
          <w:p>
            <w:r>
              <w:rPr>
                <w:sz w:val="18"/>
              </w:rPr>
              <w:t>Reclamações por 100 usuários</w:t>
            </w:r>
          </w:p>
        </w:tc>
        <w:tc>
          <w:tcPr>
            <w:tcW w:type="dxa" w:w="2340"/>
          </w:tcPr>
          <w:p>
            <w:r>
              <w:rPr>
                <w:sz w:val="18"/>
              </w:rPr>
              <w:t>Ouvidoria e chamados</w:t>
            </w:r>
          </w:p>
        </w:tc>
        <w:tc>
          <w:tcPr>
            <w:tcW w:type="dxa" w:w="2340"/>
          </w:tcPr>
          <w:p>
            <w:r>
              <w:rPr>
                <w:sz w:val="18"/>
              </w:rPr>
              <w:t>Trimestral; menor</w:t>
            </w:r>
          </w:p>
        </w:tc>
      </w:tr>
    </w:tbl>
    <w:p/>
    <w:p>
      <w:pPr>
        <w:pStyle w:val="BodyText"/>
      </w:pPr>
      <w:r>
        <w:t xml:space="preserve">O processo decisório candidato está resumido na Figura </w:t>
      </w:r>
      <w:hyperlink w:anchor="fig:fluxoprotocolo">
        <w:r>
          <w:rPr>
            <w:rStyle w:val="Hyperlink"/>
          </w:rPr>
          <w:t xml:space="preserve">11</w:t>
        </w:r>
      </w:hyperlink>
      <w:r>
        <w:t xml:space="preserve">. A unidade de comparação deve ser definida antes da coleta; critérios e indicadores são validados antes dos pesos; e a prioridade só é divulgada após análise de sensibilidade e registro das escolhas.</w:t>
      </w:r>
    </w:p>
    <w:tbl>
      <w:tblPr>
        <w:tblStyle w:val="FigureTable"/>
        <w:tblW w:type="auto" w:w="0"/>
        <w:tblLook w:firstRow="0" w:lastRow="0" w:firstColumn="0" w:lastColumn="0"/>
        <w:jc w:val="center"/>
      </w:tblPr>
      <w:tblGrid/>
      <w:tr/>
    </w:tbl>
    <w:p>
      <w:pPr>
        <w:jc w:val="center"/>
      </w:pPr>
      <w:r>
        <w:drawing>
          <wp:inline>
            <wp:extent cx="5669280" cy="1970982"/>
            <wp:docPr id="60" name="Picture 60"/>
            <wp:cNvGraphicFramePr>
              <a:graphicFrameLocks noChangeAspect="1"/>
            </wp:cNvGraphicFramePr>
            <a:graphic>
              <a:graphicData uri="http://schemas.openxmlformats.org/drawingml/2006/picture">
                <pic:pic>
                  <pic:nvPicPr>
                    <pic:cNvPr id="0" name="figura_tikz_2.png"/>
                    <pic:cNvPicPr/>
                  </pic:nvPicPr>
                  <pic:blipFill>
                    <a:blip r:embed="rId10"/>
                    <a:stretch>
                      <a:fillRect/>
                    </a:stretch>
                  </pic:blipFill>
                  <pic:spPr>
                    <a:xfrm>
                      <a:off x="0" y="0"/>
                      <a:ext cx="5669280" cy="1970982"/>
                    </a:xfrm>
                    <a:prstGeom prst="rect"/>
                  </pic:spPr>
                </pic:pic>
              </a:graphicData>
            </a:graphic>
          </wp:inline>
        </w:drawing>
      </w:r>
    </w:p>
    <w:p>
      <w:pPr>
        <w:pStyle w:val="ImageCaption"/>
      </w:pPr>
      <w:r>
        <w:t xml:space="preserve">Fluxo candidato para aplicação e auditoria do protocolo</w:t>
      </w:r>
    </w:p>
    <w:p>
      <w:pPr>
        <w:pStyle w:val="BodyText"/>
      </w:pPr>
      <w:r>
        <w:t xml:space="preserve">Pesos podem ser elicitados por Delphi, AHP, BWM ou procedimento justificado somente após validação de conteúdo, conforme a função observada desses métodos em aplicações prediais</w:t>
      </w:r>
      <w:r>
        <w:t xml:space="preserve"> </w:t>
      </w:r>
      <w:r>
        <w:t xml:space="preserve">(Alfalah et al. 2022; Naji, Gunduz, and Maki 2023; Masmoudi et al. 2026)</w:t>
      </w:r>
      <w:r>
        <w:t xml:space="preserve">. A função de agregação deve declarar o grau de compensação aceitável, e a sensibilidade deve variar pesos, limiares e tratamento de dados ausentes. Risco estrutural, risco à vida, incêndio e descumprimento legal operam como vetos: desempenho econômico ou ambiental favorável não compensa a violação do limiar definido por norma, laudo ou autoridade competente</w:t>
      </w:r>
      <w:r>
        <w:t xml:space="preserve"> </w:t>
      </w:r>
      <w:r>
        <w:t xml:space="preserve">(Associação Brasileira de Normas Técnicas 2012; Araújo Neto 2015)</w:t>
      </w:r>
      <w:r>
        <w:t xml:space="preserve">. O ciclo de vida permanece transversal para evitar dupla contagem.</w:t>
      </w:r>
    </w:p>
    <w:p>
      <w:pPr>
        <w:pStyle w:val="BodyText"/>
      </w:pPr>
      <w:r>
        <w:t xml:space="preserve">Em nível arquitetural, a matriz completa a resposta à RQ0 ao converter dimensões e critérios recorrentes em indicadores candidatos, fontes, periodicidade, direção de preferência e salvaguardas. Ela não é um modelo validado nem um instrumento pronto para decisão; indicadores, pesos, limiares e regras requerem participação institucional e teste com dados reais.</w:t>
      </w:r>
    </w:p>
    <w:bookmarkEnd w:id="59"/>
    <w:bookmarkStart w:id="64" w:name="sec:discussao"/>
    <w:p>
      <w:pPr>
        <w:pStyle w:val="Heading1"/>
      </w:pPr>
      <w:r>
        <w:t xml:space="preserve">Discussão</w:t>
      </w:r>
    </w:p>
    <w:bookmarkStart w:id="60" w:name="maturidade-e-transição-do-campo"/>
    <w:p>
      <w:pPr>
        <w:pStyle w:val="Heading2"/>
      </w:pPr>
      <w:r>
        <w:t xml:space="preserve">Maturidade e transição do campo</w:t>
      </w:r>
    </w:p>
    <w:p>
      <w:pPr>
        <w:pStyle w:val="FirstParagraph"/>
      </w:pPr>
      <w:r>
        <w:t xml:space="preserve">A literatura converge para uma manutenção entendida como gestão de ativos e facilidades, combinando desempenho, governança, ambiente, ciclo de vida, custos e usuários</w:t>
      </w:r>
      <w:r>
        <w:t xml:space="preserve"> </w:t>
      </w:r>
      <w:r>
        <w:t xml:space="preserve">(Nielsen, Sarasoja, and Galamba 2016; Opoku and Lee 2022; Okoro 2023)</w:t>
      </w:r>
      <w:r>
        <w:t xml:space="preserve">. A concentração de 83,5% do núcleo entre 2019 e 2026 e o crescimento relativo de BIM,</w:t>
      </w:r>
      <w:r>
        <w:t xml:space="preserve"> </w:t>
      </w:r>
      <w:r>
        <w:rPr>
          <w:iCs/>
          <w:i/>
        </w:rPr>
        <w:t xml:space="preserve">digital twin</w:t>
      </w:r>
      <w:r>
        <w:t xml:space="preserve">, carbono e avaliação do ciclo de vida indicam mudança de vocabulário, não causalidade ou substituição dos temas tradicionais. A rede conecta BIM a gestão de facilidades, manutenção preditiva, operação e desempenho; a síntese das leituras integrais na Seção </w:t>
      </w:r>
      <w:hyperlink w:anchor="sec:metodos">
        <w:r>
          <w:rPr>
            <w:rStyle w:val="Hyperlink"/>
          </w:rPr>
          <w:t xml:space="preserve">7</w:t>
        </w:r>
      </w:hyperlink>
      <w:r>
        <w:t xml:space="preserve"> </w:t>
      </w:r>
      <w:r>
        <w:t xml:space="preserve">mostra que essa conexão abrange integração de dados, previsão, simulação e estruturação decisória parcial</w:t>
      </w:r>
      <w:r>
        <w:t xml:space="preserve"> </w:t>
      </w:r>
      <w:r>
        <w:t xml:space="preserve">(Deng, Menassa, and Kamat 2021; Espinosa Gispert et al. 2025; Goretti and Kaming 2023; Das 2025)</w:t>
      </w:r>
      <w:r>
        <w:t xml:space="preserve">. O campo avança em capacidade informacional, mas permanece heterogêneo em maturidade, interoperabilidade e validação</w:t>
      </w:r>
      <w:r>
        <w:t xml:space="preserve"> </w:t>
      </w:r>
      <w:r>
        <w:t xml:space="preserve">(Deng, Menassa, and Kamat 2021; Das 2025; Alici 2026)</w:t>
      </w:r>
      <w:r>
        <w:t xml:space="preserve">.</w:t>
      </w:r>
    </w:p>
    <w:p>
      <w:pPr>
        <w:pStyle w:val="BodyText"/>
      </w:pPr>
      <w:r>
        <w:t xml:space="preserve">A busca de sensibilidade para inteligência artificial e aprendizado de máquina (Seção </w:t>
      </w:r>
      <w:hyperlink w:anchor="sec:buscaia">
        <w:r>
          <w:rPr>
            <w:rStyle w:val="Hyperlink"/>
          </w:rPr>
          <w:t xml:space="preserve">3.4</w:t>
        </w:r>
      </w:hyperlink>
      <w:r>
        <w:t xml:space="preserve">) reforça essa leitura em vez de contradizê-la. Inteligência artificial não é sinônimo de manutenção preditiva: entre os 4.889 registros auditados na busca de sensibilidade, 127 mencionavam manutenção preditiva sem nenhuma técnica de aprendizado de máquina explicitamente aplicada, e foram deliberadamente mantidos fora do núcleo por esse motivo, mesmo quando o termo lexical estava presente. Do mesmo modo, BIM,</w:t>
      </w:r>
      <w:r>
        <w:t xml:space="preserve"> </w:t>
      </w:r>
      <w:r>
        <w:rPr>
          <w:iCs/>
          <w:i/>
        </w:rPr>
        <w:t xml:space="preserve">digital twin</w:t>
      </w:r>
      <w:r>
        <w:t xml:space="preserve"> </w:t>
      </w:r>
      <w:r>
        <w:t xml:space="preserve">e IoT não foram tratados como prova automática de IA, apenas como termos ambíguos que exigem confirmação de técnica computacional efetivamente treinada ou aplicada. O aprendizado de máquina integra-se, portanto, à mesma corrente informacional e digital já identificada para BIM e</w:t>
      </w:r>
      <w:r>
        <w:t xml:space="preserve"> </w:t>
      </w:r>
      <w:r>
        <w:rPr>
          <w:iCs/>
          <w:i/>
        </w:rPr>
        <w:t xml:space="preserve">digital twin</w:t>
      </w:r>
      <w:r>
        <w:t xml:space="preserve"> </w:t>
      </w:r>
      <w:r>
        <w:t xml:space="preserve">na Seção </w:t>
      </w:r>
      <w:hyperlink w:anchor="sec:metodos">
        <w:r>
          <w:rPr>
            <w:rStyle w:val="Hyperlink"/>
          </w:rPr>
          <w:t xml:space="preserve">7</w:t>
        </w:r>
      </w:hyperlink>
      <w:r>
        <w:t xml:space="preserve">, sem constituir categoria separada de maturidade. A literatura sustenta que presença documental de IA, BIM ou IoT não equivale, por si, a adoção institucional, validação de desempenho ou integração decisória completa</w:t>
      </w:r>
      <w:r>
        <w:t xml:space="preserve"> </w:t>
      </w:r>
      <w:r>
        <w:t xml:space="preserve">(Deng, Menassa, and Kamat 2021; Das 2025; Alici 2026)</w:t>
      </w:r>
      <w:r>
        <w:t xml:space="preserve">.</w:t>
      </w:r>
    </w:p>
    <w:p>
      <w:pPr>
        <w:pStyle w:val="BodyText"/>
      </w:pPr>
      <w:r>
        <w:t xml:space="preserve">Sete registros do núcleo original, previamente classificados como secundários ou excluídos, foram reavaliados sob esse critério porque o dicionário de perguntas de pesquisa vigente até então (RQ0 a RQ5) não continha termos dedicados a IA e aprendizado de máquina; cinco foram promovidos ao núcleo principal por evidenciarem técnica computacional efetivamente aplicada, não por reinterpretação do conteúdo original dos estudos.</w:t>
      </w:r>
    </w:p>
    <w:p>
      <w:pPr>
        <w:pStyle w:val="BodyText"/>
      </w:pPr>
      <w:r>
        <w:t xml:space="preserve">A leitura comparativa detalhada na Seção </w:t>
      </w:r>
      <w:hyperlink w:anchor="sec:metodos">
        <w:r>
          <w:rPr>
            <w:rStyle w:val="Hyperlink"/>
          </w:rPr>
          <w:t xml:space="preserve">7</w:t>
        </w:r>
      </w:hyperlink>
      <w:r>
        <w:t xml:space="preserve"> </w:t>
      </w:r>
      <w:r>
        <w:t xml:space="preserve">também desloca a discussão de uma oposição simplista entre métodos tradicionais e IA. Estudos empíricos mostram que técnicas treinadas podem produzir estimativas úteis à gestão, enquanto revisões do campo registram fragmentação temática e barreiras de interoperabilidade, privacidade, governança de dados e representatividade geográfica</w:t>
      </w:r>
      <w:r>
        <w:t xml:space="preserve"> </w:t>
      </w:r>
      <w:r>
        <w:t xml:space="preserve">(Motuzienė et al. 2025; Wu and Mundt-Petersen 2025; Suh and Chang 2012; Das 2025; Alici 2026)</w:t>
      </w:r>
      <w:r>
        <w:t xml:space="preserve">. Portanto, acurácia preditiva e legitimidade decisória pertencem a níveis distintos</w:t>
      </w:r>
      <w:r>
        <w:t xml:space="preserve"> </w:t>
      </w:r>
      <w:r>
        <w:t xml:space="preserve">(Das 2025; Alfalah et al. 2022; Naji, Gunduz, and Maki 2023)</w:t>
      </w:r>
      <w:r>
        <w:t xml:space="preserve">. Para uma universidade pública, mesmo um modelo tecnicamente adequado precisa explicitar origem e atualidade dos dados, domínio de validade, tratamento de erro e dados ausentes, responsável pela decisão e possibilidade de contestação, requisitos coerentes com a necessidade de governança, validação contextual e transparência institucional</w:t>
      </w:r>
      <w:r>
        <w:t xml:space="preserve"> </w:t>
      </w:r>
      <w:r>
        <w:t xml:space="preserve">(Das 2025; Talib, Rajagopalan, and Yang 2013; Ndukuba 2025)</w:t>
      </w:r>
      <w:r>
        <w:t xml:space="preserve">.</w:t>
      </w:r>
    </w:p>
    <w:bookmarkEnd w:id="60"/>
    <w:bookmarkStart w:id="61" w:name="lacuna-entre-estrutura-e-decisão"/>
    <w:p>
      <w:pPr>
        <w:pStyle w:val="Heading2"/>
      </w:pPr>
      <w:r>
        <w:t xml:space="preserve">Lacuna entre estrutura e decisão</w:t>
      </w:r>
    </w:p>
    <w:p>
      <w:pPr>
        <w:pStyle w:val="FirstParagraph"/>
      </w:pPr>
      <w:r>
        <w:t xml:space="preserve">A presença de</w:t>
      </w:r>
      <w:r>
        <w:t xml:space="preserve"> </w:t>
      </w:r>
      <w:r>
        <w:rPr>
          <w:iCs/>
          <w:i/>
        </w:rPr>
        <w:t xml:space="preserve">framework</w:t>
      </w:r>
      <w:r>
        <w:t xml:space="preserve"> </w:t>
      </w:r>
      <w:r>
        <w:t xml:space="preserve">em quase todo o núcleo contrasta com a menor frequência de AHP, TOPSIS, ANP, Delphi e MCDM. Propor uma estrutura ou mencionar apoio à decisão não equivale a definir indicadores, normalizar, ponderar, agregar, testar sensibilidade e validar</w:t>
      </w:r>
      <w:r>
        <w:t xml:space="preserve"> </w:t>
      </w:r>
      <w:r>
        <w:t xml:space="preserve">(Alfalah et al. 2022; Naji, Gunduz, and Maki 2023; Masmoudi et al. 2026)</w:t>
      </w:r>
      <w:r>
        <w:t xml:space="preserve">. Aplicações em edifícios educacionais,</w:t>
      </w:r>
      <w:r>
        <w:t xml:space="preserve"> </w:t>
      </w:r>
      <w:r>
        <w:rPr>
          <w:iCs/>
          <w:i/>
        </w:rPr>
        <w:t xml:space="preserve">campus</w:t>
      </w:r>
      <w:r>
        <w:t xml:space="preserve"> </w:t>
      </w:r>
      <w:r>
        <w:t xml:space="preserve">e manutenção pública demonstram funções específicas desses métodos, e operacionalizações parciais foram identificadas nas leituras integrais</w:t>
      </w:r>
      <w:r>
        <w:t xml:space="preserve"> </w:t>
      </w:r>
      <w:r>
        <w:t xml:space="preserve">(Alfalah et al. 2022; Naji, Gunduz, and Maki 2023; Masmoudi et al. 2026; Kim et al. 2018; Nägeli et al. 2019; Ferreira et al. 2020)</w:t>
      </w:r>
      <w:r>
        <w:t xml:space="preserve">. A lacuna central não é a ausência de critérios, mas a falta de uma cadeia documentada entre evidência, variável mensurável, preferência institucional e decisão validada, padrão também compatível com a fragmentação observada entre integração informacional e estruturação decisória</w:t>
      </w:r>
      <w:r>
        <w:t xml:space="preserve"> </w:t>
      </w:r>
      <w:r>
        <w:t xml:space="preserve">(Deng, Menassa, and Kamat 2021; Das 2025; Alfalah et al. 2022; Masmoudi et al. 2026)</w:t>
      </w:r>
      <w:r>
        <w:t xml:space="preserve">. Esse resultado responde à RQ0 ao indicar que a literatura fornece componentes para o protocolo, mas não um modelo diretamente transferível à gestão universitária pública.</w:t>
      </w:r>
    </w:p>
    <w:bookmarkEnd w:id="61"/>
    <w:bookmarkStart w:id="62" w:name="especificidade-pública-universitária"/>
    <w:p>
      <w:pPr>
        <w:pStyle w:val="Heading2"/>
      </w:pPr>
      <w:r>
        <w:t xml:space="preserve">Especificidade pública universitária</w:t>
      </w:r>
    </w:p>
    <w:p>
      <w:pPr>
        <w:pStyle w:val="FirstParagraph"/>
      </w:pPr>
      <w:r>
        <w:t xml:space="preserve">Universidades,</w:t>
      </w:r>
      <w:r>
        <w:t xml:space="preserve"> </w:t>
      </w:r>
      <w:r>
        <w:rPr>
          <w:iCs/>
          <w:i/>
        </w:rPr>
        <w:t xml:space="preserve">campus</w:t>
      </w:r>
      <w:r>
        <w:t xml:space="preserve"> </w:t>
      </w:r>
      <w:r>
        <w:t xml:space="preserve">e edifícios públicos representam parcelas menores que edificações genéricas e portfólios. Nesses contextos, diversidade de usuários, continuidade acadêmica, orçamento e governança impedem reduzir prioridade à condição física</w:t>
      </w:r>
      <w:r>
        <w:t xml:space="preserve"> </w:t>
      </w:r>
      <w:r>
        <w:t xml:space="preserve">(Awuzie and Isa 2017; Ndukuba 2025)</w:t>
      </w:r>
      <w:r>
        <w:t xml:space="preserve">. Ordens de serviço e séries de custos apoiam diagnóstico e previsão, desde que possuam cadastro consistente e vínculo com ativos e intervenções</w:t>
      </w:r>
      <w:r>
        <w:t xml:space="preserve"> </w:t>
      </w:r>
      <w:r>
        <w:t xml:space="preserve">(Martins and Espejo 2024; Morais, Paula, and Reis 2023)</w:t>
      </w:r>
      <w:r>
        <w:t xml:space="preserve">. A baixa presença lexical de ODS e ESG, apesar da recorrência de energia, emissões, segurança, conforto e governança, indica no corpus uma aproximação substantiva ainda pouco expressa por esses rótulos. Essa interpretação é compatível com o caráter emergente da incorporação explícita de ESG à gestão de facilidades</w:t>
      </w:r>
      <w:r>
        <w:t xml:space="preserve"> </w:t>
      </w:r>
      <w:r>
        <w:t xml:space="preserve">(Ramantswana et al. 2026)</w:t>
      </w:r>
      <w:r>
        <w:t xml:space="preserve">.</w:t>
      </w:r>
    </w:p>
    <w:bookmarkEnd w:id="62"/>
    <w:bookmarkStart w:id="63" w:name="contribuição-do-protocolo"/>
    <w:p>
      <w:pPr>
        <w:pStyle w:val="Heading2"/>
      </w:pPr>
      <w:r>
        <w:t xml:space="preserve">Contribuição do protocolo</w:t>
      </w:r>
    </w:p>
    <w:p>
      <w:pPr>
        <w:pStyle w:val="FirstParagraph"/>
      </w:pPr>
      <w:r>
        <w:t xml:space="preserve">Como proposição deste artigo, o protocolo procura reduzir parte dessa lacuna ao ligar cada elemento candidato a evidência bibliométrica, síntese temática e leitura integral. A rastreabilidade explica por que desempenho, informação, condição, conformidade, custo, energia e usuários foram escolhidos, enquanto o fluxograma separa validação de conteúdo, qualidade dos dados, ponderação, vetos e sensibilidade. Para a gestão pública, seu valor não está apenas no ordenamento final, mas no registro verificável da fonte, da unidade, da periodicidade, dos atores e das regras aplicadas. Vetos impedem que risco à vida ou ilegalidade sejam compensados por vantagens econômicas ou ambientais, princípio coerente com requisitos normativos e responsabilidades administrativas da manutenção predial</w:t>
      </w:r>
      <w:r>
        <w:t xml:space="preserve"> </w:t>
      </w:r>
      <w:r>
        <w:t xml:space="preserve">(Associação Brasileira de Normas Técnicas 2012; Araújo Neto 2015)</w:t>
      </w:r>
      <w:r>
        <w:t xml:space="preserve">.</w:t>
      </w:r>
    </w:p>
    <w:p>
      <w:pPr>
        <w:pStyle w:val="BodyText"/>
      </w:pPr>
      <w:r>
        <w:t xml:space="preserve">Essa contribuição permanece propositiva. Coocorrências não estimam causalidade, importância ou peso; categorias amplas podem reunir estudos diferentes; e desenhos conceituais, revisões, estudos de caso e modelos quantitativos não oferecem força de evidência equivalente. Sem avaliação metodológica integral dos 121 registros e sem teste institucional, não se recomenda superioridade de método, critério ou tecnologia. O produto é uma arquitetura auditável para validação, não uma prioridade pronta.</w:t>
      </w:r>
    </w:p>
    <w:p>
      <w:pPr>
        <w:pStyle w:val="BodyText"/>
      </w:pPr>
      <w:r>
        <w:t xml:space="preserve">Como agenda de validação derivada da síntese, recomenda-se validar o conteúdo antes dos pesos, integrar dados administrativos, elicitar preferências com participação institucional, testar sensibilidade e comparar resultados entre unidades. Essa sequência delimita como a arquitetura proposta poderá ser testada sem lhe atribuir validade ainda não demonstrada.</w:t>
      </w:r>
    </w:p>
    <w:bookmarkEnd w:id="63"/>
    <w:bookmarkEnd w:id="64"/>
    <w:bookmarkStart w:id="65" w:name="sec:limitacoes"/>
    <w:p>
      <w:pPr>
        <w:pStyle w:val="Heading1"/>
      </w:pPr>
      <w:r>
        <w:t xml:space="preserve">Limitações</w:t>
      </w:r>
    </w:p>
    <w:p>
      <w:pPr>
        <w:pStyle w:val="FirstParagraph"/>
      </w:pPr>
      <w:r>
        <w:rPr>
          <w:bCs/>
          <w:b/>
        </w:rPr>
        <w:t xml:space="preserve">Cobertura e seleção.</w:t>
      </w:r>
      <w:r>
        <w:t xml:space="preserve"> </w:t>
      </w:r>
      <w:r>
        <w:t xml:space="preserve">O ano de 2026 é parcial e os índices podem mudar. Não houve pré-registro, busca de citações para frente ou para trás nem busca estruturada de literatura cinzenta; a cobertura depende das três fontes e dos metadados disponíveis. Triagem e codificação foram conduzidas por um único avaliador, sem revisão independente ou concordância interavaliadores. Além disso, presença lexical não equivale a variável mensurada, critério aplicado ou resultado empírico, e ODS, SDG ou ESG podem estar ausentes mesmo quando seus componentes aparecem.</w:t>
      </w:r>
    </w:p>
    <w:p>
      <w:pPr>
        <w:pStyle w:val="BodyText"/>
      </w:pPr>
      <w:r>
        <w:rPr>
          <w:bCs/>
          <w:b/>
        </w:rPr>
        <w:t xml:space="preserve">Extração e força de evidência.</w:t>
      </w:r>
      <w:r>
        <w:t xml:space="preserve"> </w:t>
      </w:r>
      <w:r>
        <w:t xml:space="preserve">O núcleo de 121 registros não foi submetido integralmente a elegibilidade e extração em texto completo. As leituras posteriores foram pontuais: 37 textos foram consultados e 19 acrescentaram evidências específicas; no lote de sensibilidade, sete dos 17 foram lidos integralmente. A unidade quantitativa é o registro bibliográfico consolidado, que não garante independência entre publicações relacionadas nem representa força de evidência acumulada. Como 23,1% dos registros não apresentaram sinal suficiente para classificar o desenho e não foi aplicado instrumento de risco de viés, não se pode comparar qualidade metodológica nem recomendar superioridade. A ausência de afiliações e referências citadas e a baixa completude de autores também impediram rede de colaboração e acoplamento bibliográfico.</w:t>
      </w:r>
    </w:p>
    <w:p>
      <w:pPr>
        <w:pStyle w:val="BodyText"/>
      </w:pPr>
      <w:r>
        <w:rPr>
          <w:bCs/>
          <w:b/>
        </w:rPr>
        <w:t xml:space="preserve">Busca de sensibilidade para IA.</w:t>
      </w:r>
      <w:r>
        <w:t xml:space="preserve"> </w:t>
      </w:r>
      <w:r>
        <w:t xml:space="preserve">Os 4.889 registros foram classificados por correspondência de termos ao dicionário RQ6; somente os 20 candidatos ao núcleo tiveram título e resumo revisados individualmente. No Crossref, 24,9% possuíam resumo, ante 100% na Scopus e na Web of Science, e nenhum registro incorporado teve origem exclusiva nessa fonte. A rodada permaneceu restrita às mesmas três fontes, sem literatura cinzenta ou base especializada em ciência da computação. Na Web of Science, a busca foi executada em All Databases, embora os registros exportados apresentem indexação na Web of Science Core Collection. As strings, os campos, a data, o período e a ausência de filtros adicionais foram documentados retrospectivamente a partir do registro fornecido pelo pesquisador; não há captura de tela ou histórico contemporâneo da interface anexado ao repositório. Por ter sido deliberadamente enriquecido com termos de inteligência artificial e aprendizado de máquina, o aumento de nove para 26 registros mede o efeito da sensibilidade, não a prevalência dessas técnicas no campo.</w:t>
      </w:r>
    </w:p>
    <w:p>
      <w:pPr>
        <w:pStyle w:val="BodyText"/>
      </w:pPr>
      <w:r>
        <w:rPr>
          <w:bCs/>
          <w:b/>
        </w:rPr>
        <w:t xml:space="preserve">Protocolo.</w:t>
      </w:r>
      <w:r>
        <w:t xml:space="preserve"> </w:t>
      </w:r>
      <w:r>
        <w:t xml:space="preserve">Indicadores e regras constituem especificação candidata. Pesos, limiares, agregação e sensibilidade ainda dependem de validação de conteúdo, participação institucional, dados reais e teste de robustez.</w:t>
      </w:r>
    </w:p>
    <w:bookmarkEnd w:id="65"/>
    <w:bookmarkStart w:id="150" w:name="sec:consideracoes"/>
    <w:p>
      <w:pPr>
        <w:pStyle w:val="Heading1"/>
      </w:pPr>
      <w:r>
        <w:t xml:space="preserve">Considerações finais</w:t>
      </w:r>
    </w:p>
    <w:p>
      <w:pPr>
        <w:pStyle w:val="FirstParagraph"/>
      </w:pPr>
      <w:r>
        <w:t xml:space="preserve">A pergunta central foi respondida em três níveis. O mapeamento bibliométrico identificou transição de eficiência, desempenho e edificações verdes para BIM,</w:t>
      </w:r>
      <w:r>
        <w:t xml:space="preserve"> </w:t>
      </w:r>
      <w:r>
        <w:rPr>
          <w:iCs/>
          <w:i/>
        </w:rPr>
        <w:t xml:space="preserve">digital twins</w:t>
      </w:r>
      <w:r>
        <w:t xml:space="preserve">, carbono, ciclo de vida, manutenção preditiva e, de forma ainda emergente conforme a busca complementar de sensibilidade (Seção </w:t>
      </w:r>
      <w:hyperlink w:anchor="sec:buscaia">
        <w:r>
          <w:rPr>
            <w:rStyle w:val="Hyperlink"/>
          </w:rPr>
          <w:t xml:space="preserve">3.4</w:t>
        </w:r>
      </w:hyperlink>
      <w:r>
        <w:t xml:space="preserve">), aprendizado de máquina. A síntese temática mostrou que dimensões técnica-operacional, institucional e ambiental e critérios de desempenho, informação, custo, vida útil, energia e risco formam o núcleo documental, agora com 121 registros. A integração fundamentou um protocolo que separa evidência bibliográfica, indicador operacional e escolha normativa.</w:t>
      </w:r>
    </w:p>
    <w:p>
      <w:pPr>
        <w:pStyle w:val="BodyText"/>
      </w:pPr>
      <w:r>
        <w:t xml:space="preserve">Foram identificadas seis dimensões, 15 critérios e abordagens decisórias heterogêneas. Estruturas genéricas, BIM e apoio à decisão foram mais frequentes que métodos multicritério nomeados; aprendizado de máquina, tema da busca de sensibilidade, cresceu de nove para 26 registros, mas sua presença documental não substitui validação de desempenho nem indica maturidade institucional de adoção. Em resposta à RQ6, entre os 17 registros incorporados, dez têm como função predominante previsão ou previsão com otimização, dois diagnóstico e classificação e cinco síntese ou integração tecnológica. Nenhum demonstrou a cadeia completa entre modelo treinado, validação externa, ponderação multicritério, vetos e decisão pública auditável. Edificações genéricas e portfólios predominaram; universidades,</w:t>
      </w:r>
      <w:r>
        <w:t xml:space="preserve"> </w:t>
      </w:r>
      <w:r>
        <w:rPr>
          <w:iCs/>
          <w:i/>
        </w:rPr>
        <w:t xml:space="preserve">campus</w:t>
      </w:r>
      <w:r>
        <w:t xml:space="preserve"> </w:t>
      </w:r>
      <w:r>
        <w:t xml:space="preserve">e edifícios públicos foram menos frequentes, e 12 registros apresentaram lacunas específicas para instituições públicas de ensino superior. ODS apareceu em um registro e ESG não apareceu nos campos auditados, embora componentes substantivos fossem recorrentes</w:t>
      </w:r>
      <w:r>
        <w:t xml:space="preserve"> </w:t>
      </w:r>
      <w:r>
        <w:t xml:space="preserve">(Masmoudi et al. 2026; Ramantswana et al. 2026)</w:t>
      </w:r>
      <w:r>
        <w:t xml:space="preserve">.</w:t>
      </w:r>
    </w:p>
    <w:p>
      <w:pPr>
        <w:pStyle w:val="BodyText"/>
      </w:pPr>
      <w:r>
        <w:t xml:space="preserve">A contribuição é uma matriz analítica conceitual informada pela síntese da literatura, convertida em protocolo operacional candidato e rastreável. A proposta liga evidências a indicadores, fontes, periodicidade, preferência e regras de veto, com pesos e limiares remetidos à validação institucional. Este protocolo não resolve a escassez de recursos; se validado institucionalmente, poderá oferecer um caminho transparente para justificar sua aplicação e tornar a priorização da manutenção um ato de governança auditável.</w:t>
      </w:r>
    </w:p>
    <w:p>
      <w:pPr>
        <w:pStyle w:val="BodyText"/>
      </w:pPr>
      <w:r>
        <w:t xml:space="preserve">Como proposição dos autores, a validação futura pode ser organizada em quatro etapas sequenciais, sem que os intervalos de duração sejam definidos antes do diagnóstico institucional:</w:t>
      </w:r>
    </w:p>
    <w:p>
      <w:pPr>
        <w:numPr>
          <w:ilvl w:val="0"/>
          <w:numId w:val="1001"/>
        </w:numPr>
      </w:pPr>
      <w:r>
        <w:rPr>
          <w:bCs/>
          <w:b/>
        </w:rPr>
        <w:t xml:space="preserve">Validação de conteúdo:</w:t>
      </w:r>
      <w:r>
        <w:t xml:space="preserve"> </w:t>
      </w:r>
      <w:r>
        <w:t xml:space="preserve">painel de manutenção, engenharia, sustentabilidade, planejamento, orçamento e usuários revisa dimensões, indicadores e vetos antes dos pesos.</w:t>
      </w:r>
    </w:p>
    <w:p>
      <w:pPr>
        <w:numPr>
          <w:ilvl w:val="0"/>
          <w:numId w:val="1001"/>
        </w:numPr>
      </w:pPr>
      <w:r>
        <w:rPr>
          <w:bCs/>
          <w:b/>
        </w:rPr>
        <w:t xml:space="preserve">Integração de dados:</w:t>
      </w:r>
      <w:r>
        <w:t xml:space="preserve"> </w:t>
      </w:r>
      <w:r>
        <w:t xml:space="preserve">ordens de serviço, inspeções, custos, consumo, riscos e reclamações recebem dicionário, periodicidade e responsáveis.</w:t>
      </w:r>
    </w:p>
    <w:p>
      <w:pPr>
        <w:numPr>
          <w:ilvl w:val="0"/>
          <w:numId w:val="1001"/>
        </w:numPr>
      </w:pPr>
      <w:r>
        <w:rPr>
          <w:bCs/>
          <w:b/>
        </w:rPr>
        <w:t xml:space="preserve">Ponderação e protótipo:</w:t>
      </w:r>
      <w:r>
        <w:t xml:space="preserve"> </w:t>
      </w:r>
      <w:r>
        <w:t xml:space="preserve">método de elicitação, painel auditável, casos retrospectivos e sensibilidade a pesos, limiares e dados ausentes.</w:t>
      </w:r>
    </w:p>
    <w:p>
      <w:pPr>
        <w:numPr>
          <w:ilvl w:val="0"/>
          <w:numId w:val="1001"/>
        </w:numPr>
      </w:pPr>
      <w:r>
        <w:rPr>
          <w:bCs/>
          <w:b/>
        </w:rPr>
        <w:t xml:space="preserve">Validação multicampi:</w:t>
      </w:r>
      <w:r>
        <w:t xml:space="preserve"> </w:t>
      </w:r>
      <w:r>
        <w:t xml:space="preserve">comparação entre unidades, estabilidade, utilidade decisória e transferência a outros portfólios públicos.</w:t>
      </w:r>
    </w:p>
    <w:p>
      <w:pPr>
        <w:pStyle w:val="FirstParagraph"/>
      </w:pPr>
      <w:r>
        <w:t xml:space="preserve">Até a validação empírica e institucional, a contribuição permanece uma base reproduzível e operacionalmente especificada para teste, não uma classificação pronta para orientar investimentos.</w:t>
      </w:r>
    </w:p>
    <w:bookmarkStart w:id="149" w:name="refs"/>
    <w:bookmarkStart w:id="67" w:name="ref-aldairi_lean6sbm_2017"/>
    <w:p>
      <w:pPr>
        <w:pStyle w:val="Heading1"/>
      </w:pPr>
      <w:r>
        <w:t>Referências</w:t>
      </w:r>
    </w:p>
    <w:p>
      <w:pPr>
        <w:pStyle w:val="Bibliography"/>
      </w:pPr>
      <w:r>
        <w:t xml:space="preserve">Aldairi, Jasim, M. K. Khan, and J. Eduardo Munive-Hernandez. 2017.</w:t>
      </w:r>
      <w:r>
        <w:t xml:space="preserve"> </w:t>
      </w:r>
      <w:r>
        <w:t xml:space="preserve">“Knowledge-Based Lean Six Sigma Maintenance System for Sustainable Buildings.”</w:t>
      </w:r>
      <w:r>
        <w:t xml:space="preserve"> </w:t>
      </w:r>
      <w:r>
        <w:rPr>
          <w:iCs/>
          <w:i/>
        </w:rPr>
        <w:t xml:space="preserve">International Journal of Lean Six Sigma</w:t>
      </w:r>
      <w:r>
        <w:t xml:space="preserve"> </w:t>
      </w:r>
      <w:r>
        <w:t xml:space="preserve">8 (1): 109–30.</w:t>
      </w:r>
      <w:r>
        <w:t xml:space="preserve"> </w:t>
      </w:r>
      <w:hyperlink r:id="rId66">
        <w:r>
          <w:rPr>
            <w:rStyle w:val="Hyperlink"/>
          </w:rPr>
          <w:t xml:space="preserve">https://doi.org/10.1108/IJLSS-09-2015-0035</w:t>
        </w:r>
      </w:hyperlink>
      <w:r>
        <w:t xml:space="preserve">.</w:t>
      </w:r>
    </w:p>
    <w:bookmarkEnd w:id="67"/>
    <w:bookmarkStart w:id="69" w:name="ref-alfalah_frameworkeducacional_2022"/>
    <w:p>
      <w:pPr>
        <w:pStyle w:val="Bibliography"/>
      </w:pPr>
      <w:r>
        <w:t xml:space="preserve">Alfalah, Ghasan, Abobakr Al-Sakkaf, Eslam Mohammed Abdelkader, and Tarek Zayed. 2022.</w:t>
      </w:r>
      <w:r>
        <w:t xml:space="preserve"> </w:t>
      </w:r>
      <w:r>
        <w:t xml:space="preserve">“An Integrated Fuzzy-Based Sustainability Framework for Post-Secondary Educational Buildings: A User-Perspective Approach.”</w:t>
      </w:r>
      <w:r>
        <w:t xml:space="preserve"> </w:t>
      </w:r>
      <w:r>
        <w:rPr>
          <w:iCs/>
          <w:i/>
        </w:rPr>
        <w:t xml:space="preserve">Sustainability</w:t>
      </w:r>
      <w:r>
        <w:t xml:space="preserve"> </w:t>
      </w:r>
      <w:r>
        <w:t xml:space="preserve">14 (16): 9955.</w:t>
      </w:r>
      <w:r>
        <w:t xml:space="preserve"> </w:t>
      </w:r>
      <w:hyperlink r:id="rId68">
        <w:r>
          <w:rPr>
            <w:rStyle w:val="Hyperlink"/>
          </w:rPr>
          <w:t xml:space="preserve">https://doi.org/10.3390/su14169955</w:t>
        </w:r>
      </w:hyperlink>
      <w:r>
        <w:t xml:space="preserve">.</w:t>
      </w:r>
    </w:p>
    <w:bookmarkEnd w:id="69"/>
    <w:bookmarkStart w:id="71" w:name="ref-alici_iotambientes_2026"/>
    <w:p>
      <w:pPr>
        <w:pStyle w:val="Bibliography"/>
      </w:pPr>
      <w:r>
        <w:t xml:space="preserve">Alici, Nedim. 2026.</w:t>
      </w:r>
      <w:r>
        <w:t xml:space="preserve"> </w:t>
      </w:r>
      <w:r>
        <w:t xml:space="preserve">“IoT-Enabled Indoor Environments in Smart Cities: A Systematic Review on Energy Efficiency, User Comfort, and Environmental Sustainability.”</w:t>
      </w:r>
      <w:r>
        <w:t xml:space="preserve"> </w:t>
      </w:r>
      <w:r>
        <w:rPr>
          <w:iCs/>
          <w:i/>
        </w:rPr>
        <w:t xml:space="preserve">Frontiers in Sustainability</w:t>
      </w:r>
      <w:r>
        <w:t xml:space="preserve"> </w:t>
      </w:r>
      <w:r>
        <w:t xml:space="preserve">7: 1751337.</w:t>
      </w:r>
      <w:r>
        <w:t xml:space="preserve"> </w:t>
      </w:r>
      <w:hyperlink r:id="rId70">
        <w:r>
          <w:rPr>
            <w:rStyle w:val="Hyperlink"/>
          </w:rPr>
          <w:t xml:space="preserve">https://doi.org/10.3389/frsus.2026.1751337</w:t>
        </w:r>
      </w:hyperlink>
      <w:r>
        <w:t xml:space="preserve">.</w:t>
      </w:r>
    </w:p>
    <w:bookmarkEnd w:id="71"/>
    <w:bookmarkStart w:id="73" w:name="ref-aliu_barreirasdt_2025"/>
    <w:p>
      <w:pPr>
        <w:pStyle w:val="Bibliography"/>
      </w:pPr>
      <w:r>
        <w:t xml:space="preserve">Aliu, Abdulmalik Adozuka, Nor Rima Muhamad Ariff, Sheikh Ali Azzran Sh Said, Divine Senanu Ametefe, and Dah John. 2025.</w:t>
      </w:r>
      <w:r>
        <w:t xml:space="preserve"> </w:t>
      </w:r>
      <w:r>
        <w:t xml:space="preserve">“Barriers to Digital Transformation in Facilities Management: Insights from a Developing Country.”</w:t>
      </w:r>
      <w:r>
        <w:t xml:space="preserve"> </w:t>
      </w:r>
      <w:r>
        <w:rPr>
          <w:iCs/>
          <w:i/>
        </w:rPr>
        <w:t xml:space="preserve">Journal of Construction in Developing Countries</w:t>
      </w:r>
      <w:r>
        <w:t xml:space="preserve"> </w:t>
      </w:r>
      <w:r>
        <w:t xml:space="preserve">30 (2): 137–68.</w:t>
      </w:r>
      <w:r>
        <w:t xml:space="preserve"> </w:t>
      </w:r>
      <w:hyperlink r:id="rId72">
        <w:r>
          <w:rPr>
            <w:rStyle w:val="Hyperlink"/>
          </w:rPr>
          <w:t xml:space="preserve">https://doi.org/10.21315/jcdc.2025.30.2.6</w:t>
        </w:r>
      </w:hyperlink>
      <w:r>
        <w:t xml:space="preserve">.</w:t>
      </w:r>
    </w:p>
    <w:bookmarkEnd w:id="73"/>
    <w:bookmarkStart w:id="75" w:name="ref-araujoneto_manutencaolegislacao_2015"/>
    <w:p>
      <w:pPr>
        <w:pStyle w:val="Bibliography"/>
      </w:pPr>
      <w:r>
        <w:t xml:space="preserve">Araújo Neto, Paschoal Gavazza de. 2015.</w:t>
      </w:r>
      <w:r>
        <w:t xml:space="preserve"> </w:t>
      </w:r>
      <w:r>
        <w:t xml:space="preserve">“A Manutenção Predial Nas Edificações Públicas, Um Estudo Sobre a Legislação.”</w:t>
      </w:r>
      <w:r>
        <w:t xml:space="preserve"> </w:t>
      </w:r>
      <w:r>
        <w:rPr>
          <w:iCs/>
          <w:i/>
        </w:rPr>
        <w:t xml:space="preserve">E&amp;S Engineering and Science</w:t>
      </w:r>
      <w:r>
        <w:t xml:space="preserve"> </w:t>
      </w:r>
      <w:r>
        <w:t xml:space="preserve">3 (1): 85–93.</w:t>
      </w:r>
      <w:r>
        <w:t xml:space="preserve"> </w:t>
      </w:r>
      <w:hyperlink r:id="rId74">
        <w:r>
          <w:rPr>
            <w:rStyle w:val="Hyperlink"/>
          </w:rPr>
          <w:t xml:space="preserve">https://doi.org/10.18607/ES201532557</w:t>
        </w:r>
      </w:hyperlink>
      <w:r>
        <w:t xml:space="preserve">.</w:t>
      </w:r>
    </w:p>
    <w:bookmarkEnd w:id="75"/>
    <w:bookmarkStart w:id="76" w:name="ref-abnt_nbr5674_2012"/>
    <w:p>
      <w:pPr>
        <w:pStyle w:val="Bibliography"/>
      </w:pPr>
      <w:r>
        <w:t xml:space="preserve">Associação Brasileira de Normas Técnicas. 2012.</w:t>
      </w:r>
      <w:r>
        <w:t xml:space="preserve"> </w:t>
      </w:r>
      <w:r>
        <w:t xml:space="preserve">“NBR 5674: Manutenção de Edificações, Requisitos Para o Sistema de Gestão de Manutenção.”</w:t>
      </w:r>
      <w:r>
        <w:t xml:space="preserve"> </w:t>
      </w:r>
      <w:r>
        <w:t xml:space="preserve">Rio de Janeiro: ABNT.</w:t>
      </w:r>
    </w:p>
    <w:bookmarkEnd w:id="76"/>
    <w:bookmarkStart w:id="78" w:name="ref-awuzie_fmuniversidades_2017"/>
    <w:p>
      <w:pPr>
        <w:pStyle w:val="Bibliography"/>
      </w:pPr>
      <w:r>
        <w:t xml:space="preserve">Awuzie, Bankole Osita, and Rasheed Isa. 2017.</w:t>
      </w:r>
      <w:r>
        <w:t xml:space="preserve"> </w:t>
      </w:r>
      <w:r>
        <w:t xml:space="preserve">“Stakeholders’ Perception of Critical Success Factors for Sustainable Facilities Management Practice in Universities in Sub-Saharan Africa.”</w:t>
      </w:r>
      <w:r>
        <w:t xml:space="preserve"> </w:t>
      </w:r>
      <w:r>
        <w:rPr>
          <w:iCs/>
          <w:i/>
        </w:rPr>
        <w:t xml:space="preserve">Acta Structilia</w:t>
      </w:r>
      <w:r>
        <w:t xml:space="preserve"> </w:t>
      </w:r>
      <w:r>
        <w:t xml:space="preserve">24 (2): 106–27.</w:t>
      </w:r>
      <w:r>
        <w:t xml:space="preserve"> </w:t>
      </w:r>
      <w:hyperlink r:id="rId77">
        <w:r>
          <w:rPr>
            <w:rStyle w:val="Hyperlink"/>
          </w:rPr>
          <w:t xml:space="preserve">https://doi.org/10.18820/24150487/as24i2.4</w:t>
        </w:r>
      </w:hyperlink>
      <w:r>
        <w:t xml:space="preserve">.</w:t>
      </w:r>
    </w:p>
    <w:bookmarkEnd w:id="78"/>
    <w:bookmarkStart w:id="80" w:name="X8197757cb75e327dcc86b36afee00a28411c12b"/>
    <w:p>
      <w:pPr>
        <w:pStyle w:val="Bibliography"/>
      </w:pPr>
      <w:r>
        <w:t xml:space="preserve">Barbosa, Ana Maria da Silva, Taciana de Barros Jerônimo, Patrícia Tatiana Ferreira Ramos, and Juliana Karla Rodrigues de Souza Santos. 2020.</w:t>
      </w:r>
      <w:r>
        <w:t xml:space="preserve"> </w:t>
      </w:r>
      <w:r>
        <w:t xml:space="preserve">“A Gestão de Facilities Na Manutenção de Uma Instituição Pública.”</w:t>
      </w:r>
      <w:r>
        <w:t xml:space="preserve"> </w:t>
      </w:r>
      <w:r>
        <w:rPr>
          <w:iCs/>
          <w:i/>
        </w:rPr>
        <w:t xml:space="preserve">Revista Gestão Industrial</w:t>
      </w:r>
      <w:r>
        <w:t xml:space="preserve"> </w:t>
      </w:r>
      <w:r>
        <w:t xml:space="preserve">16 (3): 129–46.</w:t>
      </w:r>
      <w:r>
        <w:t xml:space="preserve"> </w:t>
      </w:r>
      <w:hyperlink r:id="rId79">
        <w:r>
          <w:rPr>
            <w:rStyle w:val="Hyperlink"/>
          </w:rPr>
          <w:t xml:space="preserve">https://doi.org/10.3895/gi.v16n3.8968</w:t>
        </w:r>
      </w:hyperlink>
      <w:r>
        <w:t xml:space="preserve">.</w:t>
      </w:r>
    </w:p>
    <w:bookmarkEnd w:id="80"/>
    <w:bookmarkStart w:id="82" w:name="ref-chew_manutenibilidadeverde_2016"/>
    <w:p>
      <w:pPr>
        <w:pStyle w:val="Bibliography"/>
      </w:pPr>
      <w:r>
        <w:t xml:space="preserve">Chew, Michael Yit Lin, and Sheila Conejos. 2016.</w:t>
      </w:r>
      <w:r>
        <w:t xml:space="preserve"> </w:t>
      </w:r>
      <w:r>
        <w:t xml:space="preserve">“Developing a Green Maintainability Framework for Green Walls in Singapore.”</w:t>
      </w:r>
      <w:r>
        <w:t xml:space="preserve"> </w:t>
      </w:r>
      <w:r>
        <w:rPr>
          <w:iCs/>
          <w:i/>
        </w:rPr>
        <w:t xml:space="preserve">Structural Survey</w:t>
      </w:r>
      <w:r>
        <w:t xml:space="preserve"> </w:t>
      </w:r>
      <w:r>
        <w:t xml:space="preserve">34 (4/5): 379–406.</w:t>
      </w:r>
      <w:r>
        <w:t xml:space="preserve"> </w:t>
      </w:r>
      <w:hyperlink r:id="rId81">
        <w:r>
          <w:rPr>
            <w:rStyle w:val="Hyperlink"/>
          </w:rPr>
          <w:t xml:space="preserve">https://doi.org/10.1108/SS-02-2016-0007</w:t>
        </w:r>
      </w:hyperlink>
      <w:r>
        <w:t xml:space="preserve">.</w:t>
      </w:r>
    </w:p>
    <w:bookmarkEnd w:id="82"/>
    <w:bookmarkStart w:id="84" w:name="ref-conejos_verticalgreenery_2019"/>
    <w:p>
      <w:pPr>
        <w:pStyle w:val="Bibliography"/>
      </w:pPr>
      <w:r>
        <w:t xml:space="preserve">Conejos, Sheila, Michael Yit Lin Chew, and Fikril Hakim Bin Azril. 2019.</w:t>
      </w:r>
      <w:r>
        <w:t xml:space="preserve"> </w:t>
      </w:r>
      <w:r>
        <w:t xml:space="preserve">“Green Maintainability Assessment of High-Rise Vertical Greenery Systems.”</w:t>
      </w:r>
      <w:r>
        <w:t xml:space="preserve"> </w:t>
      </w:r>
      <w:r>
        <w:rPr>
          <w:iCs/>
          <w:i/>
        </w:rPr>
        <w:t xml:space="preserve">Facilities</w:t>
      </w:r>
      <w:r>
        <w:t xml:space="preserve"> </w:t>
      </w:r>
      <w:r>
        <w:t xml:space="preserve">37 (13/14): 1008–47.</w:t>
      </w:r>
      <w:r>
        <w:t xml:space="preserve"> </w:t>
      </w:r>
      <w:hyperlink r:id="rId83">
        <w:r>
          <w:rPr>
            <w:rStyle w:val="Hyperlink"/>
          </w:rPr>
          <w:t xml:space="preserve">https://doi.org/10.1108/F-09-2018-0107</w:t>
        </w:r>
      </w:hyperlink>
      <w:r>
        <w:t xml:space="preserve">.</w:t>
      </w:r>
    </w:p>
    <w:bookmarkEnd w:id="84"/>
    <w:bookmarkStart w:id="86" w:name="ref-crossref_restapi_2026"/>
    <w:p>
      <w:pPr>
        <w:pStyle w:val="Bibliography"/>
      </w:pPr>
      <w:r>
        <w:t xml:space="preserve">Crossref. 2026.</w:t>
      </w:r>
      <w:r>
        <w:t xml:space="preserve"> </w:t>
      </w:r>
      <w:r>
        <w:t xml:space="preserve">“REST API: Metadata Retrieval.”</w:t>
      </w:r>
      <w:r>
        <w:t xml:space="preserve"> </w:t>
      </w:r>
      <w:r>
        <w:t xml:space="preserve">2026.</w:t>
      </w:r>
      <w:r>
        <w:t xml:space="preserve"> </w:t>
      </w:r>
      <w:hyperlink r:id="rId85">
        <w:r>
          <w:rPr>
            <w:rStyle w:val="Hyperlink"/>
          </w:rPr>
          <w:t xml:space="preserve">https://www.crossref.org/documentation/retrieve-metadata/rest-api/</w:t>
        </w:r>
      </w:hyperlink>
      <w:r>
        <w:t xml:space="preserve">.</w:t>
      </w:r>
    </w:p>
    <w:bookmarkEnd w:id="86"/>
    <w:bookmarkStart w:id="88" w:name="ref-das_iotai_2025"/>
    <w:p>
      <w:pPr>
        <w:pStyle w:val="Bibliography"/>
      </w:pPr>
      <w:r>
        <w:t xml:space="preserve">Das, Dillip Kumar. 2025.</w:t>
      </w:r>
      <w:r>
        <w:t xml:space="preserve"> </w:t>
      </w:r>
      <w:r>
        <w:t xml:space="preserve">“Integrating IoT and AI for Sustainable Energy-Efficient Smart Building: Potential, Barriers and Strategic Pathways.”</w:t>
      </w:r>
      <w:r>
        <w:t xml:space="preserve"> </w:t>
      </w:r>
      <w:r>
        <w:rPr>
          <w:iCs/>
          <w:i/>
        </w:rPr>
        <w:t xml:space="preserve">Sustainability</w:t>
      </w:r>
      <w:r>
        <w:t xml:space="preserve"> </w:t>
      </w:r>
      <w:r>
        <w:t xml:space="preserve">17 (22): 10313.</w:t>
      </w:r>
      <w:r>
        <w:t xml:space="preserve"> </w:t>
      </w:r>
      <w:hyperlink r:id="rId87">
        <w:r>
          <w:rPr>
            <w:rStyle w:val="Hyperlink"/>
          </w:rPr>
          <w:t xml:space="preserve">https://doi.org/10.3390/su172210313</w:t>
        </w:r>
      </w:hyperlink>
      <w:r>
        <w:t xml:space="preserve">.</w:t>
      </w:r>
    </w:p>
    <w:bookmarkEnd w:id="88"/>
    <w:bookmarkStart w:id="90" w:name="ref-deng_bimdigitaltwins_2021"/>
    <w:p>
      <w:pPr>
        <w:pStyle w:val="Bibliography"/>
      </w:pPr>
      <w:r>
        <w:t xml:space="preserve">Deng, Min, Carol C. Menassa, and Vineet R. Kamat. 2021.</w:t>
      </w:r>
      <w:r>
        <w:t xml:space="preserve"> </w:t>
      </w:r>
      <w:r>
        <w:t xml:space="preserve">“From BIM to Digital Twins: A Systematic Review of the Evolution of Intelligent Building Representations in the AEC-FM Industry.”</w:t>
      </w:r>
      <w:r>
        <w:t xml:space="preserve"> </w:t>
      </w:r>
      <w:r>
        <w:rPr>
          <w:iCs/>
          <w:i/>
        </w:rPr>
        <w:t xml:space="preserve">Journal of Information Technology in Construction (ITcon)</w:t>
      </w:r>
      <w:r>
        <w:t xml:space="preserve"> </w:t>
      </w:r>
      <w:r>
        <w:t xml:space="preserve">26: 58–83.</w:t>
      </w:r>
      <w:r>
        <w:t xml:space="preserve"> </w:t>
      </w:r>
      <w:hyperlink r:id="rId89">
        <w:r>
          <w:rPr>
            <w:rStyle w:val="Hyperlink"/>
          </w:rPr>
          <w:t xml:space="preserve">https://doi.org/10.36680/j.itcon.2021.005</w:t>
        </w:r>
      </w:hyperlink>
      <w:r>
        <w:t xml:space="preserve">.</w:t>
      </w:r>
    </w:p>
    <w:bookmarkEnd w:id="90"/>
    <w:bookmarkStart w:id="92" w:name="ref-donthu_bibliometria_2021"/>
    <w:p>
      <w:pPr>
        <w:pStyle w:val="Bibliography"/>
      </w:pPr>
      <w:r>
        <w:t xml:space="preserve">Donthu, Naveen, Satish Kumar, Debmalya Mukherjee, Nitesh Pandey, and Weng Marc Lim. 2021.</w:t>
      </w:r>
      <w:r>
        <w:t xml:space="preserve"> </w:t>
      </w:r>
      <w:r>
        <w:t xml:space="preserve">“How to Conduct a Bibliometric Analysis: An Overview and Guidelines.”</w:t>
      </w:r>
      <w:r>
        <w:t xml:space="preserve"> </w:t>
      </w:r>
      <w:r>
        <w:rPr>
          <w:iCs/>
          <w:i/>
        </w:rPr>
        <w:t xml:space="preserve">Journal of Business Research</w:t>
      </w:r>
      <w:r>
        <w:t xml:space="preserve"> </w:t>
      </w:r>
      <w:r>
        <w:t xml:space="preserve">133: 285–96.</w:t>
      </w:r>
      <w:r>
        <w:t xml:space="preserve"> </w:t>
      </w:r>
      <w:hyperlink r:id="rId91">
        <w:r>
          <w:rPr>
            <w:rStyle w:val="Hyperlink"/>
          </w:rPr>
          <w:t xml:space="preserve">https://doi.org/10.1016/j.jbusres.2021.04.070</w:t>
        </w:r>
      </w:hyperlink>
      <w:r>
        <w:t xml:space="preserve">.</w:t>
      </w:r>
    </w:p>
    <w:bookmarkEnd w:id="92"/>
    <w:bookmarkStart w:id="94" w:name="ref-gispert_ontologiaativos_2025"/>
    <w:p>
      <w:pPr>
        <w:pStyle w:val="Bibliography"/>
      </w:pPr>
      <w:r>
        <w:t xml:space="preserve">Espinosa Gispert, Diego, Ibrahim Yitmen, Habib Sadri, and Afshin Taheri. 2025.</w:t>
      </w:r>
      <w:r>
        <w:t xml:space="preserve"> </w:t>
      </w:r>
      <w:r>
        <w:t xml:space="preserve">“Development of an Ontology-Based Asset Information Model for Predictive Maintenance in Building Facilities.”</w:t>
      </w:r>
      <w:r>
        <w:t xml:space="preserve"> </w:t>
      </w:r>
      <w:r>
        <w:rPr>
          <w:iCs/>
          <w:i/>
        </w:rPr>
        <w:t xml:space="preserve">Smart and Sustainable Built Environment</w:t>
      </w:r>
      <w:r>
        <w:t xml:space="preserve"> </w:t>
      </w:r>
      <w:r>
        <w:t xml:space="preserve">14 (3): 740–57.</w:t>
      </w:r>
      <w:r>
        <w:t xml:space="preserve"> </w:t>
      </w:r>
      <w:hyperlink r:id="rId93">
        <w:r>
          <w:rPr>
            <w:rStyle w:val="Hyperlink"/>
          </w:rPr>
          <w:t xml:space="preserve">https://doi.org/10.1108/SASBE-07-2023-0170</w:t>
        </w:r>
      </w:hyperlink>
      <w:r>
        <w:t xml:space="preserve">.</w:t>
      </w:r>
    </w:p>
    <w:bookmarkEnd w:id="94"/>
    <w:bookmarkStart w:id="96" w:name="ref-ferreira_manutencaoceramica_2020"/>
    <w:p>
      <w:pPr>
        <w:pStyle w:val="Bibliography"/>
      </w:pPr>
      <w:r>
        <w:t xml:space="preserve">Ferreira, Cláudia, Luís Canhoto Neves, Ana Silva, and Jorge de Brito. 2020.</w:t>
      </w:r>
      <w:r>
        <w:t xml:space="preserve"> </w:t>
      </w:r>
      <w:r>
        <w:t xml:space="preserve">“Stochastic Maintenance Models for Ceramic Claddings.”</w:t>
      </w:r>
      <w:r>
        <w:t xml:space="preserve"> </w:t>
      </w:r>
      <w:r>
        <w:rPr>
          <w:iCs/>
          <w:i/>
        </w:rPr>
        <w:t xml:space="preserve">Structure and Infrastructure Engineering</w:t>
      </w:r>
      <w:r>
        <w:t xml:space="preserve"> </w:t>
      </w:r>
      <w:r>
        <w:t xml:space="preserve">16 (2): 247–65.</w:t>
      </w:r>
      <w:r>
        <w:t xml:space="preserve"> </w:t>
      </w:r>
      <w:hyperlink r:id="rId95">
        <w:r>
          <w:rPr>
            <w:rStyle w:val="Hyperlink"/>
          </w:rPr>
          <w:t xml:space="preserve">https://doi.org/10.1080/15732479.2019.1652657</w:t>
        </w:r>
      </w:hyperlink>
      <w:r>
        <w:t xml:space="preserve">.</w:t>
      </w:r>
    </w:p>
    <w:bookmarkEnd w:id="96"/>
    <w:bookmarkStart w:id="98" w:name="ref-goretti_bimoem_2023"/>
    <w:p>
      <w:pPr>
        <w:pStyle w:val="Bibliography"/>
      </w:pPr>
      <w:r>
        <w:t xml:space="preserve">Goretti, Hannah A., and Peter Kaming. 2023.</w:t>
      </w:r>
      <w:r>
        <w:t xml:space="preserve"> </w:t>
      </w:r>
      <w:r>
        <w:t xml:space="preserve">“A Review and Bibliometric Analysis of Utilizing Building Information Modeling (BIM) on Effective Operation and Maintenance (o&amp;m).”</w:t>
      </w:r>
      <w:r>
        <w:t xml:space="preserve"> </w:t>
      </w:r>
      <w:r>
        <w:rPr>
          <w:iCs/>
          <w:i/>
        </w:rPr>
        <w:t xml:space="preserve">E3S Web of Conferences</w:t>
      </w:r>
      <w:r>
        <w:t xml:space="preserve"> </w:t>
      </w:r>
      <w:r>
        <w:t xml:space="preserve">429: 01002.</w:t>
      </w:r>
      <w:r>
        <w:t xml:space="preserve"> </w:t>
      </w:r>
      <w:hyperlink r:id="rId97">
        <w:r>
          <w:rPr>
            <w:rStyle w:val="Hyperlink"/>
          </w:rPr>
          <w:t xml:space="preserve">https://doi.org/10.1051/e3sconf/202342901002</w:t>
        </w:r>
      </w:hyperlink>
      <w:r>
        <w:t xml:space="preserve">.</w:t>
      </w:r>
    </w:p>
    <w:bookmarkEnd w:id="98"/>
    <w:bookmarkStart w:id="100" w:name="ref-hu_revisao_sintese_2026"/>
    <w:p>
      <w:pPr>
        <w:pStyle w:val="Bibliography"/>
      </w:pPr>
      <w:r>
        <w:t xml:space="preserve">Hu, Meilan, Paye Shin Koh, Xun Ci Soh, Andree Hartanto, and Nadyanna M. Majeed. 2026.</w:t>
      </w:r>
      <w:r>
        <w:t xml:space="preserve"> </w:t>
      </w:r>
      <w:r>
        <w:t xml:space="preserve">“From Review to Synthesis: A Step-by-Step Methodological Guide to Systematic Reviews and Multilevel Meta-Analyses.”</w:t>
      </w:r>
      <w:r>
        <w:t xml:space="preserve"> </w:t>
      </w:r>
      <w:r>
        <w:rPr>
          <w:iCs/>
          <w:i/>
        </w:rPr>
        <w:t xml:space="preserve">Behavior Research Methods</w:t>
      </w:r>
      <w:r>
        <w:t xml:space="preserve"> </w:t>
      </w:r>
      <w:r>
        <w:t xml:space="preserve">58 (7): 197.</w:t>
      </w:r>
      <w:r>
        <w:t xml:space="preserve"> </w:t>
      </w:r>
      <w:hyperlink r:id="rId99">
        <w:r>
          <w:rPr>
            <w:rStyle w:val="Hyperlink"/>
          </w:rPr>
          <w:t xml:space="preserve">https://doi.org/10.3758/s13428-026-02961-x</w:t>
        </w:r>
      </w:hyperlink>
      <w:r>
        <w:t xml:space="preserve">.</w:t>
      </w:r>
    </w:p>
    <w:bookmarkEnd w:id="100"/>
    <w:bookmarkStart w:id="102" w:name="ref-jiang_deduplicacao_regras_2014"/>
    <w:p>
      <w:pPr>
        <w:pStyle w:val="Bibliography"/>
      </w:pPr>
      <w:r>
        <w:t xml:space="preserve">Jiang, Yu, Can Lin, Weiyi Meng, Clement Yu, Aaron M. Cohen, and Neil R. Smalheiser. 2014.</w:t>
      </w:r>
      <w:r>
        <w:t xml:space="preserve"> </w:t>
      </w:r>
      <w:r>
        <w:t xml:space="preserve">“Rule-Based Deduplication of Article Records from Bibliographic Databases.”</w:t>
      </w:r>
      <w:r>
        <w:t xml:space="preserve"> </w:t>
      </w:r>
      <w:r>
        <w:rPr>
          <w:iCs/>
          <w:i/>
        </w:rPr>
        <w:t xml:space="preserve">Database</w:t>
      </w:r>
      <w:r>
        <w:t xml:space="preserve"> </w:t>
      </w:r>
      <w:r>
        <w:t xml:space="preserve">2014: bat086.</w:t>
      </w:r>
      <w:r>
        <w:t xml:space="preserve"> </w:t>
      </w:r>
      <w:hyperlink r:id="rId101">
        <w:r>
          <w:rPr>
            <w:rStyle w:val="Hyperlink"/>
          </w:rPr>
          <w:t xml:space="preserve">https://doi.org/10.1093/database/bat086</w:t>
        </w:r>
      </w:hyperlink>
      <w:r>
        <w:t xml:space="preserve">.</w:t>
      </w:r>
    </w:p>
    <w:bookmarkEnd w:id="102"/>
    <w:bookmarkStart w:id="104" w:name="ref-kim_estimativacustoseducacional_2018"/>
    <w:p>
      <w:pPr>
        <w:pStyle w:val="Bibliography"/>
      </w:pPr>
      <w:r>
        <w:t xml:space="preserve">Kim, Ji-Myong, Taehui Kim, Yeong-Jin Yu, and Kiyoung Son. 2018.</w:t>
      </w:r>
      <w:r>
        <w:t xml:space="preserve"> </w:t>
      </w:r>
      <w:r>
        <w:t xml:space="preserve">“Development of a Maintenance and Repair Cost Estimation Model for Educational Buildings Using Regression Analysis.”</w:t>
      </w:r>
      <w:r>
        <w:t xml:space="preserve"> </w:t>
      </w:r>
      <w:r>
        <w:rPr>
          <w:iCs/>
          <w:i/>
        </w:rPr>
        <w:t xml:space="preserve">Journal of Asian Architecture and Building Engineering</w:t>
      </w:r>
      <w:r>
        <w:t xml:space="preserve"> </w:t>
      </w:r>
      <w:r>
        <w:t xml:space="preserve">17 (2): 307–12.</w:t>
      </w:r>
      <w:r>
        <w:t xml:space="preserve"> </w:t>
      </w:r>
      <w:hyperlink r:id="rId103">
        <w:r>
          <w:rPr>
            <w:rStyle w:val="Hyperlink"/>
          </w:rPr>
          <w:t xml:space="preserve">https://doi.org/10.3130/jaabe.17.307</w:t>
        </w:r>
      </w:hyperlink>
      <w:r>
        <w:t xml:space="preserve">.</w:t>
      </w:r>
    </w:p>
    <w:bookmarkEnd w:id="104"/>
    <w:bookmarkStart w:id="105" w:name="ref-lateef_manutencaouniversidade_2010"/>
    <w:p>
      <w:pPr>
        <w:pStyle w:val="Bibliography"/>
      </w:pPr>
      <w:r>
        <w:t xml:space="preserve">Lateef, Olanrewaju Abdul, Mohd Faris Khamidi, and Arazi Idrus. 2010.</w:t>
      </w:r>
      <w:r>
        <w:t xml:space="preserve"> </w:t>
      </w:r>
      <w:r>
        <w:t xml:space="preserve">“Building Maintenance Management in a Malaysian University Campuses: A Case Study.”</w:t>
      </w:r>
      <w:r>
        <w:t xml:space="preserve"> </w:t>
      </w:r>
      <w:r>
        <w:rPr>
          <w:iCs/>
          <w:i/>
        </w:rPr>
        <w:t xml:space="preserve">Australasian Journal of Construction Economics and Building</w:t>
      </w:r>
      <w:r>
        <w:t xml:space="preserve"> </w:t>
      </w:r>
      <w:r>
        <w:t xml:space="preserve">10 (1/2): 76–89.</w:t>
      </w:r>
    </w:p>
    <w:bookmarkEnd w:id="105"/>
    <w:bookmarkStart w:id="106" w:name="ref-maia_gestaoinformacaomanutencao_2016"/>
    <w:p>
      <w:pPr>
        <w:pStyle w:val="Bibliography"/>
      </w:pPr>
      <w:r>
        <w:t xml:space="preserve">Maia, Barbara Lepca, Sérgio Scheer, and Maria do Carmo Duarte Freitas. 2016.</w:t>
      </w:r>
      <w:r>
        <w:t xml:space="preserve"> </w:t>
      </w:r>
      <w:r>
        <w:t xml:space="preserve">“Manutenção Predial: A Prospecta de Decisões a Partir Da Gestão Da Informação.”</w:t>
      </w:r>
      <w:r>
        <w:t xml:space="preserve"> </w:t>
      </w:r>
      <w:r>
        <w:rPr>
          <w:iCs/>
          <w:i/>
        </w:rPr>
        <w:t xml:space="preserve">Revista de Engenharia e Tecnologia</w:t>
      </w:r>
      <w:r>
        <w:t xml:space="preserve"> </w:t>
      </w:r>
      <w:r>
        <w:t xml:space="preserve">8 (3): 37–55.</w:t>
      </w:r>
    </w:p>
    <w:bookmarkEnd w:id="106"/>
    <w:bookmarkStart w:id="108" w:name="ref-martins_custosmanutencaoses_2024"/>
    <w:p>
      <w:pPr>
        <w:pStyle w:val="Bibliography"/>
      </w:pPr>
      <w:r>
        <w:t xml:space="preserve">Martins, Rafael Fernando Batista, and Márcia Maria dos Santos Bortolocci Espejo. 2024.</w:t>
      </w:r>
      <w:r>
        <w:t xml:space="preserve"> </w:t>
      </w:r>
      <w:r>
        <w:t xml:space="preserve">“Análise de Custos de Manutenção Predial Em Uma Universidade Federal Brasileira Com Uso Do Modelo de Suavização Exponencial Simples.”</w:t>
      </w:r>
      <w:r>
        <w:t xml:space="preserve"> </w:t>
      </w:r>
      <w:r>
        <w:rPr>
          <w:iCs/>
          <w:i/>
        </w:rPr>
        <w:t xml:space="preserve">ABCustos</w:t>
      </w:r>
      <w:r>
        <w:t xml:space="preserve"> </w:t>
      </w:r>
      <w:r>
        <w:t xml:space="preserve">19 (1): 79–98.</w:t>
      </w:r>
      <w:r>
        <w:t xml:space="preserve"> </w:t>
      </w:r>
      <w:hyperlink r:id="rId107">
        <w:r>
          <w:rPr>
            <w:rStyle w:val="Hyperlink"/>
          </w:rPr>
          <w:t xml:space="preserve">https://doi.org/10.47179/abcustos.v19i1.719</w:t>
        </w:r>
      </w:hyperlink>
      <w:r>
        <w:t xml:space="preserve">.</w:t>
      </w:r>
    </w:p>
    <w:bookmarkEnd w:id="108"/>
    <w:bookmarkStart w:id="110" w:name="ref-masmoudi_ahptopsis_2026"/>
    <w:p>
      <w:pPr>
        <w:pStyle w:val="Bibliography"/>
      </w:pPr>
      <w:r>
        <w:t xml:space="preserve">Masmoudi, Malek, Mohamed Alshamsi, Sujan Piya, and Srikant Gupta. 2026.</w:t>
      </w:r>
      <w:r>
        <w:t xml:space="preserve"> </w:t>
      </w:r>
      <w:r>
        <w:t xml:space="preserve">“Contractors Allocation for Public Building Maintenance: A Sustainable Approach Aligned with SDGs Using AHP-TOPSIS and Bi-Objective Optimization.”</w:t>
      </w:r>
      <w:r>
        <w:t xml:space="preserve"> </w:t>
      </w:r>
      <w:r>
        <w:rPr>
          <w:iCs/>
          <w:i/>
        </w:rPr>
        <w:t xml:space="preserve">International Transactions in Operational Research</w:t>
      </w:r>
      <w:r>
        <w:t xml:space="preserve"> </w:t>
      </w:r>
      <w:r>
        <w:t xml:space="preserve">33 (4): 2535–76.</w:t>
      </w:r>
      <w:r>
        <w:t xml:space="preserve"> </w:t>
      </w:r>
      <w:hyperlink r:id="rId109">
        <w:r>
          <w:rPr>
            <w:rStyle w:val="Hyperlink"/>
          </w:rPr>
          <w:t xml:space="preserve">https://doi.org/10.1111/itor.70022</w:t>
        </w:r>
      </w:hyperlink>
      <w:r>
        <w:t xml:space="preserve">.</w:t>
      </w:r>
    </w:p>
    <w:bookmarkEnd w:id="110"/>
    <w:bookmarkStart w:id="112" w:name="ref-morais_eficienciamanutencao_2023"/>
    <w:p>
      <w:pPr>
        <w:pStyle w:val="Bibliography"/>
      </w:pPr>
      <w:r>
        <w:t xml:space="preserve">Morais, Lucas Salomão Rael de, Heber Martins de Paula, and Ricardo Prado Abreu Reis. 2023.</w:t>
      </w:r>
      <w:r>
        <w:t xml:space="preserve"> </w:t>
      </w:r>
      <w:r>
        <w:t xml:space="preserve">“Promoção Da Eficiência Da Manutenção Predial Em Edificações Públicas: Abordagem Baseada Em Registros de Ordens de Serviço.”</w:t>
      </w:r>
      <w:r>
        <w:t xml:space="preserve"> </w:t>
      </w:r>
      <w:r>
        <w:rPr>
          <w:iCs/>
          <w:i/>
        </w:rPr>
        <w:t xml:space="preserve">Paranoá</w:t>
      </w:r>
      <w:r>
        <w:t xml:space="preserve"> </w:t>
      </w:r>
      <w:r>
        <w:t xml:space="preserve">16 (34): 1–27.</w:t>
      </w:r>
      <w:r>
        <w:t xml:space="preserve"> </w:t>
      </w:r>
      <w:hyperlink r:id="rId111">
        <w:r>
          <w:rPr>
            <w:rStyle w:val="Hyperlink"/>
          </w:rPr>
          <w:t xml:space="preserve">https://doi.org/10.18830/issn.1679-0944.n34.2023.08</w:t>
        </w:r>
      </w:hyperlink>
      <w:r>
        <w:t xml:space="preserve">.</w:t>
      </w:r>
    </w:p>
    <w:bookmarkEnd w:id="112"/>
    <w:bookmarkStart w:id="114" w:name="ref-motuziene_ventilacaoia_2025"/>
    <w:p>
      <w:pPr>
        <w:pStyle w:val="Bibliography"/>
      </w:pPr>
      <w:r>
        <w:t xml:space="preserve">Motuzienė, Violeta, Jonas Bielskus, Rasa Džiugaitė-Tumėnienė, and Vidas Raudonis. 2025.</w:t>
      </w:r>
      <w:r>
        <w:t xml:space="preserve"> </w:t>
      </w:r>
      <w:r>
        <w:t xml:space="preserve">“Occupancy-Based Predictive AI-Driven Ventilation Control for Energy Savings in Office Buildings.”</w:t>
      </w:r>
      <w:r>
        <w:t xml:space="preserve"> </w:t>
      </w:r>
      <w:r>
        <w:rPr>
          <w:iCs/>
          <w:i/>
        </w:rPr>
        <w:t xml:space="preserve">Sustainability</w:t>
      </w:r>
      <w:r>
        <w:t xml:space="preserve"> </w:t>
      </w:r>
      <w:r>
        <w:t xml:space="preserve">17 (9): 4140.</w:t>
      </w:r>
      <w:r>
        <w:t xml:space="preserve"> </w:t>
      </w:r>
      <w:hyperlink r:id="rId113">
        <w:r>
          <w:rPr>
            <w:rStyle w:val="Hyperlink"/>
          </w:rPr>
          <w:t xml:space="preserve">https://doi.org/10.3390/su17094140</w:t>
        </w:r>
      </w:hyperlink>
      <w:r>
        <w:t xml:space="preserve">.</w:t>
      </w:r>
    </w:p>
    <w:bookmarkEnd w:id="114"/>
    <w:bookmarkStart w:id="116" w:name="ref-nageli_ciclovida_2019"/>
    <w:p>
      <w:pPr>
        <w:pStyle w:val="Bibliography"/>
      </w:pPr>
      <w:r>
        <w:t xml:space="preserve">Nägeli, Claudio, Abolfazl Farahani, Magnus Österbring, Jan-Olof Dalenbäck, and Holger Wallbaum. 2019.</w:t>
      </w:r>
      <w:r>
        <w:t xml:space="preserve"> </w:t>
      </w:r>
      <w:r>
        <w:t xml:space="preserve">“A Service-Life Cycle Approach to Maintenance and Energy Retrofit Planning for Building Portfolios.”</w:t>
      </w:r>
      <w:r>
        <w:t xml:space="preserve"> </w:t>
      </w:r>
      <w:r>
        <w:rPr>
          <w:iCs/>
          <w:i/>
        </w:rPr>
        <w:t xml:space="preserve">Building and Environment</w:t>
      </w:r>
      <w:r>
        <w:t xml:space="preserve"> </w:t>
      </w:r>
      <w:r>
        <w:t xml:space="preserve">160: 106212.</w:t>
      </w:r>
      <w:r>
        <w:t xml:space="preserve"> </w:t>
      </w:r>
      <w:hyperlink r:id="rId115">
        <w:r>
          <w:rPr>
            <w:rStyle w:val="Hyperlink"/>
          </w:rPr>
          <w:t xml:space="preserve">https://doi.org/10.1016/j.buildenv.2019.106212</w:t>
        </w:r>
      </w:hyperlink>
      <w:r>
        <w:t xml:space="preserve">.</w:t>
      </w:r>
    </w:p>
    <w:bookmarkEnd w:id="116"/>
    <w:bookmarkStart w:id="118" w:name="ref-naji_campusdelphi_2023"/>
    <w:p>
      <w:pPr>
        <w:pStyle w:val="Bibliography"/>
      </w:pPr>
      <w:r>
        <w:t xml:space="preserve">Naji, Khalid K., Murat Gunduz, and Omar Maki. 2023.</w:t>
      </w:r>
      <w:r>
        <w:t xml:space="preserve"> </w:t>
      </w:r>
      <w:r>
        <w:t xml:space="preserve">“Development of a Campus Facility Management Operational Framework Using a Modified Delphi Method.”</w:t>
      </w:r>
      <w:r>
        <w:t xml:space="preserve"> </w:t>
      </w:r>
      <w:r>
        <w:rPr>
          <w:iCs/>
          <w:i/>
        </w:rPr>
        <w:t xml:space="preserve">Journal of Construction Engineering and Management</w:t>
      </w:r>
      <w:r>
        <w:t xml:space="preserve"> </w:t>
      </w:r>
      <w:r>
        <w:t xml:space="preserve">149 (7): 04023052.</w:t>
      </w:r>
      <w:r>
        <w:t xml:space="preserve"> </w:t>
      </w:r>
      <w:hyperlink r:id="rId117">
        <w:r>
          <w:rPr>
            <w:rStyle w:val="Hyperlink"/>
          </w:rPr>
          <w:t xml:space="preserve">https://doi.org/10.1061/JCEMD4.COENG-13154</w:t>
        </w:r>
      </w:hyperlink>
      <w:r>
        <w:t xml:space="preserve">.</w:t>
      </w:r>
    </w:p>
    <w:bookmarkEnd w:id="118"/>
    <w:bookmarkStart w:id="120" w:name="X29a0b815a0fa8c82998c6fb0764f2ef94fd929e"/>
    <w:p>
      <w:pPr>
        <w:pStyle w:val="Bibliography"/>
      </w:pPr>
      <w:r>
        <w:t xml:space="preserve">Ndukuba, Samuel Nnadoziem. 2025.</w:t>
      </w:r>
      <w:r>
        <w:t xml:space="preserve"> </w:t>
      </w:r>
      <w:r>
        <w:t xml:space="preserve">“Building Institutional Resilience Through Sustainable Facility Management in South African Vocational Education.”</w:t>
      </w:r>
      <w:r>
        <w:t xml:space="preserve"> </w:t>
      </w:r>
      <w:r>
        <w:rPr>
          <w:iCs/>
          <w:i/>
        </w:rPr>
        <w:t xml:space="preserve">Construction Entrepreneurship and Real Property</w:t>
      </w:r>
      <w:r>
        <w:t xml:space="preserve"> </w:t>
      </w:r>
      <w:r>
        <w:t xml:space="preserve">2 (2): 110–23.</w:t>
      </w:r>
      <w:r>
        <w:t xml:space="preserve"> </w:t>
      </w:r>
      <w:hyperlink r:id="rId119">
        <w:r>
          <w:rPr>
            <w:rStyle w:val="Hyperlink"/>
          </w:rPr>
          <w:t xml:space="preserve">https://doi.org/10.56065/pdpyke84</w:t>
        </w:r>
      </w:hyperlink>
      <w:r>
        <w:t xml:space="preserve">.</w:t>
      </w:r>
    </w:p>
    <w:bookmarkEnd w:id="120"/>
    <w:bookmarkStart w:id="122" w:name="ref-nielsen_sustentabilidadefm_2016"/>
    <w:p>
      <w:pPr>
        <w:pStyle w:val="Bibliography"/>
      </w:pPr>
      <w:r>
        <w:t xml:space="preserve">Nielsen, Susanne Balslev, Anna-Liisa Sarasoja, and Kirsten Ramskov Galamba. 2016.</w:t>
      </w:r>
      <w:r>
        <w:t xml:space="preserve"> </w:t>
      </w:r>
      <w:r>
        <w:t xml:space="preserve">“Sustainability in Facilities Management: An Overview of Current Research.”</w:t>
      </w:r>
      <w:r>
        <w:t xml:space="preserve"> </w:t>
      </w:r>
      <w:r>
        <w:rPr>
          <w:iCs/>
          <w:i/>
        </w:rPr>
        <w:t xml:space="preserve">Facilities</w:t>
      </w:r>
      <w:r>
        <w:t xml:space="preserve"> </w:t>
      </w:r>
      <w:r>
        <w:t xml:space="preserve">34 (9-10): 535–63.</w:t>
      </w:r>
      <w:r>
        <w:t xml:space="preserve"> </w:t>
      </w:r>
      <w:hyperlink r:id="rId121">
        <w:r>
          <w:rPr>
            <w:rStyle w:val="Hyperlink"/>
          </w:rPr>
          <w:t xml:space="preserve">https://doi.org/10.1108/F-07-2014-0060</w:t>
        </w:r>
      </w:hyperlink>
      <w:r>
        <w:t xml:space="preserve">.</w:t>
      </w:r>
    </w:p>
    <w:bookmarkEnd w:id="122"/>
    <w:bookmarkStart w:id="124" w:name="ref-okoro_sustainablefm_2023"/>
    <w:p>
      <w:pPr>
        <w:pStyle w:val="Bibliography"/>
      </w:pPr>
      <w:r>
        <w:t xml:space="preserve">Okoro, Chioma Sylvia. 2023.</w:t>
      </w:r>
      <w:r>
        <w:t xml:space="preserve"> </w:t>
      </w:r>
      <w:r>
        <w:t xml:space="preserve">“Sustainable Facilities Management in the Built Environment: A Mixed-Method Review.”</w:t>
      </w:r>
      <w:r>
        <w:t xml:space="preserve"> </w:t>
      </w:r>
      <w:r>
        <w:rPr>
          <w:iCs/>
          <w:i/>
        </w:rPr>
        <w:t xml:space="preserve">Sustainability</w:t>
      </w:r>
      <w:r>
        <w:t xml:space="preserve"> </w:t>
      </w:r>
      <w:r>
        <w:t xml:space="preserve">15 (4): 3174.</w:t>
      </w:r>
      <w:r>
        <w:t xml:space="preserve"> </w:t>
      </w:r>
      <w:hyperlink r:id="rId123">
        <w:r>
          <w:rPr>
            <w:rStyle w:val="Hyperlink"/>
          </w:rPr>
          <w:t xml:space="preserve">https://doi.org/10.3390/su15043174</w:t>
        </w:r>
      </w:hyperlink>
      <w:r>
        <w:t xml:space="preserve">.</w:t>
      </w:r>
    </w:p>
    <w:bookmarkEnd w:id="124"/>
    <w:bookmarkStart w:id="126" w:name="ref-opoku_futurofm_2022"/>
    <w:p>
      <w:pPr>
        <w:pStyle w:val="Bibliography"/>
      </w:pPr>
      <w:r>
        <w:t xml:space="preserve">Opoku, Alex, and Jeoung Yul Lee. 2022.</w:t>
      </w:r>
      <w:r>
        <w:t xml:space="preserve"> </w:t>
      </w:r>
      <w:r>
        <w:t xml:space="preserve">“The Future of Facilities Management: Managing Facilities for Sustainable Development.”</w:t>
      </w:r>
      <w:r>
        <w:t xml:space="preserve"> </w:t>
      </w:r>
      <w:r>
        <w:rPr>
          <w:iCs/>
          <w:i/>
        </w:rPr>
        <w:t xml:space="preserve">Sustainability</w:t>
      </w:r>
      <w:r>
        <w:t xml:space="preserve"> </w:t>
      </w:r>
      <w:r>
        <w:t xml:space="preserve">14 (3): 1705.</w:t>
      </w:r>
      <w:r>
        <w:t xml:space="preserve"> </w:t>
      </w:r>
      <w:hyperlink r:id="rId125">
        <w:r>
          <w:rPr>
            <w:rStyle w:val="Hyperlink"/>
          </w:rPr>
          <w:t xml:space="preserve">https://doi.org/10.3390/su14031705</w:t>
        </w:r>
      </w:hyperlink>
      <w:r>
        <w:t xml:space="preserve">.</w:t>
      </w:r>
    </w:p>
    <w:bookmarkEnd w:id="126"/>
    <w:bookmarkStart w:id="128" w:name="ref-othman_manutenibilidadeesi_2023"/>
    <w:p>
      <w:pPr>
        <w:pStyle w:val="Bibliography"/>
      </w:pPr>
      <w:r>
        <w:t xml:space="preserve">Othman, Ayman Ahmed Ezzat, and Ahmed Kamal. 2023.</w:t>
      </w:r>
      <w:r>
        <w:t xml:space="preserve"> </w:t>
      </w:r>
      <w:r>
        <w:t xml:space="preserve">“Enhancing Building Maintainability Through Early Supplier Involvement in the Design Process.”</w:t>
      </w:r>
      <w:r>
        <w:t xml:space="preserve"> </w:t>
      </w:r>
      <w:r>
        <w:rPr>
          <w:iCs/>
          <w:i/>
        </w:rPr>
        <w:t xml:space="preserve">Organization, Technology and Management in Construction</w:t>
      </w:r>
      <w:r>
        <w:t xml:space="preserve"> </w:t>
      </w:r>
      <w:r>
        <w:t xml:space="preserve">15: 34–49.</w:t>
      </w:r>
      <w:r>
        <w:t xml:space="preserve"> </w:t>
      </w:r>
      <w:hyperlink r:id="rId127">
        <w:r>
          <w:rPr>
            <w:rStyle w:val="Hyperlink"/>
          </w:rPr>
          <w:t xml:space="preserve">https://doi.org/10.2478/otmcj-2023-0005</w:t>
        </w:r>
      </w:hyperlink>
      <w:r>
        <w:t xml:space="preserve">.</w:t>
      </w:r>
    </w:p>
    <w:bookmarkEnd w:id="128"/>
    <w:bookmarkStart w:id="130" w:name="ref-park_cbrfuzzyahp_2019"/>
    <w:p>
      <w:pPr>
        <w:pStyle w:val="Bibliography"/>
      </w:pPr>
      <w:r>
        <w:t xml:space="preserve">Park, Sojin, Nahyun Kwon, and Yonghan Ahn. 2019.</w:t>
      </w:r>
      <w:r>
        <w:t xml:space="preserve"> </w:t>
      </w:r>
      <w:r>
        <w:t xml:space="preserve">“Forecasting Repair Schedule for Building Components Based on Case-Based Reasoning and Fuzzy-AHP.”</w:t>
      </w:r>
      <w:r>
        <w:t xml:space="preserve"> </w:t>
      </w:r>
      <w:r>
        <w:rPr>
          <w:iCs/>
          <w:i/>
        </w:rPr>
        <w:t xml:space="preserve">Sustainability</w:t>
      </w:r>
      <w:r>
        <w:t xml:space="preserve"> </w:t>
      </w:r>
      <w:r>
        <w:t xml:space="preserve">11 (24): 7181.</w:t>
      </w:r>
      <w:r>
        <w:t xml:space="preserve"> </w:t>
      </w:r>
      <w:hyperlink r:id="rId129">
        <w:r>
          <w:rPr>
            <w:rStyle w:val="Hyperlink"/>
          </w:rPr>
          <w:t xml:space="preserve">https://doi.org/10.3390/su11247181</w:t>
        </w:r>
      </w:hyperlink>
      <w:r>
        <w:t xml:space="preserve">.</w:t>
      </w:r>
    </w:p>
    <w:bookmarkEnd w:id="130"/>
    <w:bookmarkStart w:id="132" w:name="ref-ramantswana_esgfm_2026"/>
    <w:p>
      <w:pPr>
        <w:pStyle w:val="Bibliography"/>
      </w:pPr>
      <w:r>
        <w:t xml:space="preserve">Ramantswana, Thabelo, Bankole Awuzie, Lerato Mompati, and Thabo Khafiso. 2026.</w:t>
      </w:r>
      <w:r>
        <w:t xml:space="preserve"> </w:t>
      </w:r>
      <w:r>
        <w:t xml:space="preserve">“Embedding ESG in Facility Management Practices: A South African Corporate Real Estate Perspective.”</w:t>
      </w:r>
      <w:r>
        <w:t xml:space="preserve"> </w:t>
      </w:r>
      <w:r>
        <w:rPr>
          <w:iCs/>
          <w:i/>
        </w:rPr>
        <w:t xml:space="preserve">International Journal of Building Pathology and Adaptation</w:t>
      </w:r>
      <w:r>
        <w:t xml:space="preserve"> </w:t>
      </w:r>
      <w:r>
        <w:t xml:space="preserve">44 (5): 1246–66.</w:t>
      </w:r>
      <w:r>
        <w:t xml:space="preserve"> </w:t>
      </w:r>
      <w:hyperlink r:id="rId131">
        <w:r>
          <w:rPr>
            <w:rStyle w:val="Hyperlink"/>
          </w:rPr>
          <w:t xml:space="preserve">https://doi.org/10.1108/IJBPA-07-2025-0169</w:t>
        </w:r>
      </w:hyperlink>
      <w:r>
        <w:t xml:space="preserve">.</w:t>
      </w:r>
    </w:p>
    <w:bookmarkEnd w:id="132"/>
    <w:bookmarkStart w:id="134" w:name="ref-rathbone_deduplicacao_2015"/>
    <w:p>
      <w:pPr>
        <w:pStyle w:val="Bibliography"/>
      </w:pPr>
      <w:r>
        <w:t xml:space="preserve">Rathbone, John, Matt Carter, Tammy Hoffmann, and Paul Glasziou. 2015.</w:t>
      </w:r>
      <w:r>
        <w:t xml:space="preserve"> </w:t>
      </w:r>
      <w:r>
        <w:t xml:space="preserve">“Better Duplicate Detection for Systematic Reviewers: Evaluation of Systematic Review Assistant-Deduplication Module.”</w:t>
      </w:r>
      <w:r>
        <w:t xml:space="preserve"> </w:t>
      </w:r>
      <w:r>
        <w:rPr>
          <w:iCs/>
          <w:i/>
        </w:rPr>
        <w:t xml:space="preserve">Systematic Reviews</w:t>
      </w:r>
      <w:r>
        <w:t xml:space="preserve"> </w:t>
      </w:r>
      <w:r>
        <w:t xml:space="preserve">4: 6.</w:t>
      </w:r>
      <w:r>
        <w:t xml:space="preserve"> </w:t>
      </w:r>
      <w:hyperlink r:id="rId133">
        <w:r>
          <w:rPr>
            <w:rStyle w:val="Hyperlink"/>
          </w:rPr>
          <w:t xml:space="preserve">https://doi.org/10.1186/2046-4053-4-6</w:t>
        </w:r>
      </w:hyperlink>
      <w:r>
        <w:t xml:space="preserve">.</w:t>
      </w:r>
    </w:p>
    <w:bookmarkEnd w:id="134"/>
    <w:bookmarkStart w:id="136" w:name="ref-snyder_revisaometodologia_2019"/>
    <w:p>
      <w:pPr>
        <w:pStyle w:val="Bibliography"/>
      </w:pPr>
      <w:r>
        <w:t xml:space="preserve">Snyder, Hannah. 2019.</w:t>
      </w:r>
      <w:r>
        <w:t xml:space="preserve"> </w:t>
      </w:r>
      <w:r>
        <w:t xml:space="preserve">“Literature Review as a Research Methodology: An Overview and Guidelines.”</w:t>
      </w:r>
      <w:r>
        <w:t xml:space="preserve"> </w:t>
      </w:r>
      <w:r>
        <w:rPr>
          <w:iCs/>
          <w:i/>
        </w:rPr>
        <w:t xml:space="preserve">Journal of Business Research</w:t>
      </w:r>
      <w:r>
        <w:t xml:space="preserve"> </w:t>
      </w:r>
      <w:r>
        <w:t xml:space="preserve">104: 333–39.</w:t>
      </w:r>
      <w:r>
        <w:t xml:space="preserve"> </w:t>
      </w:r>
      <w:hyperlink r:id="rId135">
        <w:r>
          <w:rPr>
            <w:rStyle w:val="Hyperlink"/>
          </w:rPr>
          <w:t xml:space="preserve">https://doi.org/10.1016/j.jbusres.2019.07.039</w:t>
        </w:r>
      </w:hyperlink>
      <w:r>
        <w:t xml:space="preserve">.</w:t>
      </w:r>
    </w:p>
    <w:bookmarkEnd w:id="136"/>
    <w:bookmarkStart w:id="138" w:name="ref-suh_demandaenergiaagua_2012"/>
    <w:p>
      <w:pPr>
        <w:pStyle w:val="Bibliography"/>
      </w:pPr>
      <w:r>
        <w:t xml:space="preserve">Suh, Dongjun, and Seongju Chang. 2012.</w:t>
      </w:r>
      <w:r>
        <w:t xml:space="preserve"> </w:t>
      </w:r>
      <w:r>
        <w:t xml:space="preserve">“An Energy and Water Resource Demand Estimation Model for Multi-Family Housing Complexes in Korea.”</w:t>
      </w:r>
      <w:r>
        <w:t xml:space="preserve"> </w:t>
      </w:r>
      <w:r>
        <w:rPr>
          <w:iCs/>
          <w:i/>
        </w:rPr>
        <w:t xml:space="preserve">Energies</w:t>
      </w:r>
      <w:r>
        <w:t xml:space="preserve"> </w:t>
      </w:r>
      <w:r>
        <w:t xml:space="preserve">5 (11): 4497–4516.</w:t>
      </w:r>
      <w:r>
        <w:t xml:space="preserve"> </w:t>
      </w:r>
      <w:hyperlink r:id="rId137">
        <w:r>
          <w:rPr>
            <w:rStyle w:val="Hyperlink"/>
          </w:rPr>
          <w:t xml:space="preserve">https://doi.org/10.3390/en5114497</w:t>
        </w:r>
      </w:hyperlink>
      <w:r>
        <w:t xml:space="preserve">.</w:t>
      </w:r>
    </w:p>
    <w:bookmarkEnd w:id="138"/>
    <w:bookmarkStart w:id="140" w:name="ref-talib_hospitalfm_2013"/>
    <w:p>
      <w:pPr>
        <w:pStyle w:val="Bibliography"/>
      </w:pPr>
      <w:r>
        <w:t xml:space="preserve">Talib, Yuhainis, Priyadarsini Rajagopalan, and Jay Yang. 2013.</w:t>
      </w:r>
      <w:r>
        <w:t xml:space="preserve"> </w:t>
      </w:r>
      <w:r>
        <w:t xml:space="preserve">“Evaluation of Building Performance for Strategic Facilities Management in Healthcare: A Case Study of a Public Hospital in Australia.”</w:t>
      </w:r>
      <w:r>
        <w:t xml:space="preserve"> </w:t>
      </w:r>
      <w:r>
        <w:rPr>
          <w:iCs/>
          <w:i/>
        </w:rPr>
        <w:t xml:space="preserve">Facilities</w:t>
      </w:r>
      <w:r>
        <w:t xml:space="preserve"> </w:t>
      </w:r>
      <w:r>
        <w:t xml:space="preserve">31 (13/14): 681–701.</w:t>
      </w:r>
      <w:r>
        <w:t xml:space="preserve"> </w:t>
      </w:r>
      <w:hyperlink r:id="rId139">
        <w:r>
          <w:rPr>
            <w:rStyle w:val="Hyperlink"/>
          </w:rPr>
          <w:t xml:space="preserve">https://doi.org/10.1108/F-06-2012-0042</w:t>
        </w:r>
      </w:hyperlink>
      <w:r>
        <w:t xml:space="preserve">.</w:t>
      </w:r>
    </w:p>
    <w:bookmarkEnd w:id="140"/>
    <w:bookmarkStart w:id="142" w:name="ref-tan_fluxoinformacao_2018"/>
    <w:p>
      <w:pPr>
        <w:pStyle w:val="Bibliography"/>
      </w:pPr>
      <w:r>
        <w:t xml:space="preserve">Tan, Adeline Zhu Teng, Atiq Uz Zaman, and Monty Sutrisna. 2018.</w:t>
      </w:r>
      <w:r>
        <w:t xml:space="preserve"> </w:t>
      </w:r>
      <w:r>
        <w:t xml:space="preserve">“Enabling an Effective Knowledge and Information Flow Between the Phases of Building Construction and Facilities Management.”</w:t>
      </w:r>
      <w:r>
        <w:t xml:space="preserve"> </w:t>
      </w:r>
      <w:r>
        <w:rPr>
          <w:iCs/>
          <w:i/>
        </w:rPr>
        <w:t xml:space="preserve">Facilities</w:t>
      </w:r>
      <w:r>
        <w:t xml:space="preserve"> </w:t>
      </w:r>
      <w:r>
        <w:t xml:space="preserve">36 (3/4): 151–70.</w:t>
      </w:r>
      <w:r>
        <w:t xml:space="preserve"> </w:t>
      </w:r>
      <w:hyperlink r:id="rId141">
        <w:r>
          <w:rPr>
            <w:rStyle w:val="Hyperlink"/>
          </w:rPr>
          <w:t xml:space="preserve">https://doi.org/10.1108/F-03-2016-0028</w:t>
        </w:r>
      </w:hyperlink>
      <w:r>
        <w:t xml:space="preserve">.</w:t>
      </w:r>
    </w:p>
    <w:bookmarkEnd w:id="142"/>
    <w:bookmarkStart w:id="144" w:name="ref-whittemore_revisaointegrativa_2005"/>
    <w:p>
      <w:pPr>
        <w:pStyle w:val="Bibliography"/>
      </w:pPr>
      <w:r>
        <w:t xml:space="preserve">Whittemore, Robin, and Kathleen Knafl. 2005.</w:t>
      </w:r>
      <w:r>
        <w:t xml:space="preserve"> </w:t>
      </w:r>
      <w:r>
        <w:t xml:space="preserve">“The Integrative Review: Updated Methodology.”</w:t>
      </w:r>
      <w:r>
        <w:t xml:space="preserve"> </w:t>
      </w:r>
      <w:r>
        <w:rPr>
          <w:iCs/>
          <w:i/>
        </w:rPr>
        <w:t xml:space="preserve">Journal of Advanced Nursing</w:t>
      </w:r>
      <w:r>
        <w:t xml:space="preserve"> </w:t>
      </w:r>
      <w:r>
        <w:t xml:space="preserve">52 (5): 546–53.</w:t>
      </w:r>
      <w:r>
        <w:t xml:space="preserve"> </w:t>
      </w:r>
      <w:hyperlink r:id="rId143">
        <w:r>
          <w:rPr>
            <w:rStyle w:val="Hyperlink"/>
          </w:rPr>
          <w:t xml:space="preserve">https://doi.org/10.1111/j.1365-2648.2005.03621.x</w:t>
        </w:r>
      </w:hyperlink>
      <w:r>
        <w:t xml:space="preserve">.</w:t>
      </w:r>
    </w:p>
    <w:bookmarkEnd w:id="144"/>
    <w:bookmarkStart w:id="146" w:name="ref-wu_gnnvidautil_2025"/>
    <w:p>
      <w:pPr>
        <w:pStyle w:val="Bibliography"/>
      </w:pPr>
      <w:r>
        <w:t xml:space="preserve">Wu, Pei-Yu, and S. Olof Mundt-Petersen. 2025.</w:t>
      </w:r>
      <w:r>
        <w:t xml:space="preserve"> </w:t>
      </w:r>
      <w:r>
        <w:t xml:space="preserve">“Empirical Quantification and Prediction of Building Component Lifespans with Graph Neural Networks.”</w:t>
      </w:r>
      <w:r>
        <w:t xml:space="preserve"> </w:t>
      </w:r>
      <w:r>
        <w:rPr>
          <w:iCs/>
          <w:i/>
        </w:rPr>
        <w:t xml:space="preserve">IOP Conference Series: Earth and Environmental Science</w:t>
      </w:r>
      <w:r>
        <w:t xml:space="preserve"> </w:t>
      </w:r>
      <w:r>
        <w:t xml:space="preserve">1554: 012036.</w:t>
      </w:r>
      <w:r>
        <w:t xml:space="preserve"> </w:t>
      </w:r>
      <w:hyperlink r:id="rId145">
        <w:r>
          <w:rPr>
            <w:rStyle w:val="Hyperlink"/>
          </w:rPr>
          <w:t xml:space="preserve">https://doi.org/10.1088/1755-1315/1554/1/012036</w:t>
        </w:r>
      </w:hyperlink>
      <w:r>
        <w:t xml:space="preserve">.</w:t>
      </w:r>
    </w:p>
    <w:bookmarkEnd w:id="146"/>
    <w:bookmarkStart w:id="148" w:name="ref-yoon_fuzzyfm_2018"/>
    <w:p>
      <w:pPr>
        <w:pStyle w:val="Bibliography"/>
      </w:pPr>
      <w:r>
        <w:t xml:space="preserve">Yoon, Jong Han, and Hee Sung Cha. 2018.</w:t>
      </w:r>
      <w:r>
        <w:t xml:space="preserve"> </w:t>
      </w:r>
      <w:r>
        <w:t xml:space="preserve">“Optimal FM Strategy for Commercial Office Buildings Using Fuzzy Synthetic Evaluation.”</w:t>
      </w:r>
      <w:r>
        <w:t xml:space="preserve"> </w:t>
      </w:r>
      <w:r>
        <w:rPr>
          <w:iCs/>
          <w:i/>
        </w:rPr>
        <w:t xml:space="preserve">Journal of Performance of Constructed Facilities</w:t>
      </w:r>
      <w:r>
        <w:t xml:space="preserve"> </w:t>
      </w:r>
      <w:r>
        <w:t xml:space="preserve">32 (3): 04018025.</w:t>
      </w:r>
      <w:r>
        <w:t xml:space="preserve"> </w:t>
      </w:r>
      <w:hyperlink r:id="rId147">
        <w:r>
          <w:rPr>
            <w:rStyle w:val="Hyperlink"/>
          </w:rPr>
          <w:t xml:space="preserve">https://doi.org/10.1061/(ASCE)CF.1943-5509.0001176</w:t>
        </w:r>
      </w:hyperlink>
      <w:r>
        <w:t xml:space="preserve">.</w:t>
      </w:r>
    </w:p>
    <w:bookmarkEnd w:id="148"/>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48" Type="http://schemas.openxmlformats.org/officeDocument/2006/relationships/image" Target="media/rId48.png"/><Relationship Id="rId44" Type="http://schemas.openxmlformats.org/officeDocument/2006/relationships/image" Target="media/rId44.png"/><Relationship Id="rId53" Type="http://schemas.openxmlformats.org/officeDocument/2006/relationships/image" Target="media/rId53.png"/><Relationship Id="rId56" Type="http://schemas.openxmlformats.org/officeDocument/2006/relationships/image" Target="media/rId56.png"/><Relationship Id="rId36" Type="http://schemas.openxmlformats.org/officeDocument/2006/relationships/image" Target="media/rId36.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115" Type="http://schemas.openxmlformats.org/officeDocument/2006/relationships/hyperlink" Target="https://doi.org/10.1016/j.buildenv.2019.106212" TargetMode="External"/><Relationship Id="rId135" Type="http://schemas.openxmlformats.org/officeDocument/2006/relationships/hyperlink" Target="https://doi.org/10.1016/j.jbusres.2019.07.039" TargetMode="External"/><Relationship Id="rId91" Type="http://schemas.openxmlformats.org/officeDocument/2006/relationships/hyperlink" Target="https://doi.org/10.1016/j.jbusres.2021.04.070" TargetMode="External"/><Relationship Id="rId97" Type="http://schemas.openxmlformats.org/officeDocument/2006/relationships/hyperlink" Target="https://doi.org/10.1051/e3sconf/202342901002" TargetMode="External"/><Relationship Id="rId147" Type="http://schemas.openxmlformats.org/officeDocument/2006/relationships/hyperlink" Target="https://doi.org/10.1061/(ASCE)CF.1943-5509.0001176" TargetMode="External"/><Relationship Id="rId117" Type="http://schemas.openxmlformats.org/officeDocument/2006/relationships/hyperlink" Target="https://doi.org/10.1061/JCEMD4.COENG-13154" TargetMode="External"/><Relationship Id="rId95" Type="http://schemas.openxmlformats.org/officeDocument/2006/relationships/hyperlink" Target="https://doi.org/10.1080/15732479.2019.1652657" TargetMode="External"/><Relationship Id="rId145" Type="http://schemas.openxmlformats.org/officeDocument/2006/relationships/hyperlink" Target="https://doi.org/10.1088/1755-1315/1554/1/012036" TargetMode="External"/><Relationship Id="rId101" Type="http://schemas.openxmlformats.org/officeDocument/2006/relationships/hyperlink" Target="https://doi.org/10.1093/database/bat086" TargetMode="External"/><Relationship Id="rId141" Type="http://schemas.openxmlformats.org/officeDocument/2006/relationships/hyperlink" Target="https://doi.org/10.1108/F-03-2016-0028" TargetMode="External"/><Relationship Id="rId139" Type="http://schemas.openxmlformats.org/officeDocument/2006/relationships/hyperlink" Target="https://doi.org/10.1108/F-06-2012-0042" TargetMode="External"/><Relationship Id="rId121" Type="http://schemas.openxmlformats.org/officeDocument/2006/relationships/hyperlink" Target="https://doi.org/10.1108/F-07-2014-0060" TargetMode="External"/><Relationship Id="rId83" Type="http://schemas.openxmlformats.org/officeDocument/2006/relationships/hyperlink" Target="https://doi.org/10.1108/F-09-2018-0107" TargetMode="External"/><Relationship Id="rId131" Type="http://schemas.openxmlformats.org/officeDocument/2006/relationships/hyperlink" Target="https://doi.org/10.1108/IJBPA-07-2025-0169" TargetMode="External"/><Relationship Id="rId66" Type="http://schemas.openxmlformats.org/officeDocument/2006/relationships/hyperlink" Target="https://doi.org/10.1108/IJLSS-09-2015-0035" TargetMode="External"/><Relationship Id="rId93" Type="http://schemas.openxmlformats.org/officeDocument/2006/relationships/hyperlink" Target="https://doi.org/10.1108/SASBE-07-2023-0170" TargetMode="External"/><Relationship Id="rId81" Type="http://schemas.openxmlformats.org/officeDocument/2006/relationships/hyperlink" Target="https://doi.org/10.1108/SS-02-2016-0007" TargetMode="External"/><Relationship Id="rId109" Type="http://schemas.openxmlformats.org/officeDocument/2006/relationships/hyperlink" Target="https://doi.org/10.1111/itor.70022" TargetMode="External"/><Relationship Id="rId143" Type="http://schemas.openxmlformats.org/officeDocument/2006/relationships/hyperlink" Target="https://doi.org/10.1111/j.1365-2648.2005.03621.x" TargetMode="External"/><Relationship Id="rId133" Type="http://schemas.openxmlformats.org/officeDocument/2006/relationships/hyperlink" Target="https://doi.org/10.1186/2046-4053-4-6" TargetMode="External"/><Relationship Id="rId74" Type="http://schemas.openxmlformats.org/officeDocument/2006/relationships/hyperlink" Target="https://doi.org/10.18607/ES201532557" TargetMode="External"/><Relationship Id="rId77" Type="http://schemas.openxmlformats.org/officeDocument/2006/relationships/hyperlink" Target="https://doi.org/10.18820/24150487/as24i2.4" TargetMode="External"/><Relationship Id="rId111" Type="http://schemas.openxmlformats.org/officeDocument/2006/relationships/hyperlink" Target="https://doi.org/10.18830/issn.1679-0944.n34.2023.08" TargetMode="External"/><Relationship Id="rId72" Type="http://schemas.openxmlformats.org/officeDocument/2006/relationships/hyperlink" Target="https://doi.org/10.21315/jcdc.2025.30.2.6" TargetMode="External"/><Relationship Id="rId127" Type="http://schemas.openxmlformats.org/officeDocument/2006/relationships/hyperlink" Target="https://doi.org/10.2478/otmcj-2023-0005" TargetMode="External"/><Relationship Id="rId103" Type="http://schemas.openxmlformats.org/officeDocument/2006/relationships/hyperlink" Target="https://doi.org/10.3130/jaabe.17.307" TargetMode="External"/><Relationship Id="rId70" Type="http://schemas.openxmlformats.org/officeDocument/2006/relationships/hyperlink" Target="https://doi.org/10.3389/frsus.2026.1751337" TargetMode="External"/><Relationship Id="rId137" Type="http://schemas.openxmlformats.org/officeDocument/2006/relationships/hyperlink" Target="https://doi.org/10.3390/en5114497" TargetMode="External"/><Relationship Id="rId129" Type="http://schemas.openxmlformats.org/officeDocument/2006/relationships/hyperlink" Target="https://doi.org/10.3390/su11247181" TargetMode="External"/><Relationship Id="rId125" Type="http://schemas.openxmlformats.org/officeDocument/2006/relationships/hyperlink" Target="https://doi.org/10.3390/su14031705" TargetMode="External"/><Relationship Id="rId68" Type="http://schemas.openxmlformats.org/officeDocument/2006/relationships/hyperlink" Target="https://doi.org/10.3390/su14169955" TargetMode="External"/><Relationship Id="rId123" Type="http://schemas.openxmlformats.org/officeDocument/2006/relationships/hyperlink" Target="https://doi.org/10.3390/su15043174" TargetMode="External"/><Relationship Id="rId113" Type="http://schemas.openxmlformats.org/officeDocument/2006/relationships/hyperlink" Target="https://doi.org/10.3390/su17094140" TargetMode="External"/><Relationship Id="rId87" Type="http://schemas.openxmlformats.org/officeDocument/2006/relationships/hyperlink" Target="https://doi.org/10.3390/su172210313" TargetMode="External"/><Relationship Id="rId89" Type="http://schemas.openxmlformats.org/officeDocument/2006/relationships/hyperlink" Target="https://doi.org/10.36680/j.itcon.2021.005" TargetMode="External"/><Relationship Id="rId99" Type="http://schemas.openxmlformats.org/officeDocument/2006/relationships/hyperlink" Target="https://doi.org/10.3758/s13428-026-02961-x" TargetMode="External"/><Relationship Id="rId79" Type="http://schemas.openxmlformats.org/officeDocument/2006/relationships/hyperlink" Target="https://doi.org/10.3895/gi.v16n3.8968" TargetMode="External"/><Relationship Id="rId107" Type="http://schemas.openxmlformats.org/officeDocument/2006/relationships/hyperlink" Target="https://doi.org/10.47179/abcustos.v19i1.719" TargetMode="External"/><Relationship Id="rId119" Type="http://schemas.openxmlformats.org/officeDocument/2006/relationships/hyperlink" Target="https://doi.org/10.56065/pdpyke84" TargetMode="External"/><Relationship Id="rId85" Type="http://schemas.openxmlformats.org/officeDocument/2006/relationships/hyperlink" Target="https://www.crossref.org/documentation/retrieve-metadata/rest-api/" TargetMode="External"/><Relationship Id="rId9" Type="http://schemas.openxmlformats.org/officeDocument/2006/relationships/image" Target="media/image1.png"/><Relationship Id="rId10" Type="http://schemas.openxmlformats.org/officeDocument/2006/relationships/image" Target="media/image2.png"/></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16/j.buildenv.2019.106212" TargetMode="External"/><Relationship Id="rId135" Type="http://schemas.openxmlformats.org/officeDocument/2006/relationships/hyperlink" Target="https://doi.org/10.1016/j.jbusres.2019.07.039" TargetMode="External"/><Relationship Id="rId91" Type="http://schemas.openxmlformats.org/officeDocument/2006/relationships/hyperlink" Target="https://doi.org/10.1016/j.jbusres.2021.04.070" TargetMode="External"/><Relationship Id="rId97" Type="http://schemas.openxmlformats.org/officeDocument/2006/relationships/hyperlink" Target="https://doi.org/10.1051/e3sconf/202342901002" TargetMode="External"/><Relationship Id="rId147" Type="http://schemas.openxmlformats.org/officeDocument/2006/relationships/hyperlink" Target="https://doi.org/10.1061/(ASCE)CF.1943-5509.0001176" TargetMode="External"/><Relationship Id="rId117" Type="http://schemas.openxmlformats.org/officeDocument/2006/relationships/hyperlink" Target="https://doi.org/10.1061/JCEMD4.COENG-13154" TargetMode="External"/><Relationship Id="rId95" Type="http://schemas.openxmlformats.org/officeDocument/2006/relationships/hyperlink" Target="https://doi.org/10.1080/15732479.2019.1652657" TargetMode="External"/><Relationship Id="rId145" Type="http://schemas.openxmlformats.org/officeDocument/2006/relationships/hyperlink" Target="https://doi.org/10.1088/1755-1315/1554/1/012036" TargetMode="External"/><Relationship Id="rId101" Type="http://schemas.openxmlformats.org/officeDocument/2006/relationships/hyperlink" Target="https://doi.org/10.1093/database/bat086" TargetMode="External"/><Relationship Id="rId141" Type="http://schemas.openxmlformats.org/officeDocument/2006/relationships/hyperlink" Target="https://doi.org/10.1108/F-03-2016-0028" TargetMode="External"/><Relationship Id="rId139" Type="http://schemas.openxmlformats.org/officeDocument/2006/relationships/hyperlink" Target="https://doi.org/10.1108/F-06-2012-0042" TargetMode="External"/><Relationship Id="rId121" Type="http://schemas.openxmlformats.org/officeDocument/2006/relationships/hyperlink" Target="https://doi.org/10.1108/F-07-2014-0060" TargetMode="External"/><Relationship Id="rId83" Type="http://schemas.openxmlformats.org/officeDocument/2006/relationships/hyperlink" Target="https://doi.org/10.1108/F-09-2018-0107" TargetMode="External"/><Relationship Id="rId131" Type="http://schemas.openxmlformats.org/officeDocument/2006/relationships/hyperlink" Target="https://doi.org/10.1108/IJBPA-07-2025-0169" TargetMode="External"/><Relationship Id="rId66" Type="http://schemas.openxmlformats.org/officeDocument/2006/relationships/hyperlink" Target="https://doi.org/10.1108/IJLSS-09-2015-0035" TargetMode="External"/><Relationship Id="rId93" Type="http://schemas.openxmlformats.org/officeDocument/2006/relationships/hyperlink" Target="https://doi.org/10.1108/SASBE-07-2023-0170" TargetMode="External"/><Relationship Id="rId81" Type="http://schemas.openxmlformats.org/officeDocument/2006/relationships/hyperlink" Target="https://doi.org/10.1108/SS-02-2016-0007" TargetMode="External"/><Relationship Id="rId109" Type="http://schemas.openxmlformats.org/officeDocument/2006/relationships/hyperlink" Target="https://doi.org/10.1111/itor.70022" TargetMode="External"/><Relationship Id="rId143" Type="http://schemas.openxmlformats.org/officeDocument/2006/relationships/hyperlink" Target="https://doi.org/10.1111/j.1365-2648.2005.03621.x" TargetMode="External"/><Relationship Id="rId133" Type="http://schemas.openxmlformats.org/officeDocument/2006/relationships/hyperlink" Target="https://doi.org/10.1186/2046-4053-4-6" TargetMode="External"/><Relationship Id="rId74" Type="http://schemas.openxmlformats.org/officeDocument/2006/relationships/hyperlink" Target="https://doi.org/10.18607/ES201532557" TargetMode="External"/><Relationship Id="rId77" Type="http://schemas.openxmlformats.org/officeDocument/2006/relationships/hyperlink" Target="https://doi.org/10.18820/24150487/as24i2.4" TargetMode="External"/><Relationship Id="rId111" Type="http://schemas.openxmlformats.org/officeDocument/2006/relationships/hyperlink" Target="https://doi.org/10.18830/issn.1679-0944.n34.2023.08" TargetMode="External"/><Relationship Id="rId72" Type="http://schemas.openxmlformats.org/officeDocument/2006/relationships/hyperlink" Target="https://doi.org/10.21315/jcdc.2025.30.2.6" TargetMode="External"/><Relationship Id="rId127" Type="http://schemas.openxmlformats.org/officeDocument/2006/relationships/hyperlink" Target="https://doi.org/10.2478/otmcj-2023-0005" TargetMode="External"/><Relationship Id="rId103" Type="http://schemas.openxmlformats.org/officeDocument/2006/relationships/hyperlink" Target="https://doi.org/10.3130/jaabe.17.307" TargetMode="External"/><Relationship Id="rId70" Type="http://schemas.openxmlformats.org/officeDocument/2006/relationships/hyperlink" Target="https://doi.org/10.3389/frsus.2026.1751337" TargetMode="External"/><Relationship Id="rId137" Type="http://schemas.openxmlformats.org/officeDocument/2006/relationships/hyperlink" Target="https://doi.org/10.3390/en5114497" TargetMode="External"/><Relationship Id="rId129" Type="http://schemas.openxmlformats.org/officeDocument/2006/relationships/hyperlink" Target="https://doi.org/10.3390/su11247181" TargetMode="External"/><Relationship Id="rId125" Type="http://schemas.openxmlformats.org/officeDocument/2006/relationships/hyperlink" Target="https://doi.org/10.3390/su14031705" TargetMode="External"/><Relationship Id="rId68" Type="http://schemas.openxmlformats.org/officeDocument/2006/relationships/hyperlink" Target="https://doi.org/10.3390/su14169955" TargetMode="External"/><Relationship Id="rId123" Type="http://schemas.openxmlformats.org/officeDocument/2006/relationships/hyperlink" Target="https://doi.org/10.3390/su15043174" TargetMode="External"/><Relationship Id="rId113" Type="http://schemas.openxmlformats.org/officeDocument/2006/relationships/hyperlink" Target="https://doi.org/10.3390/su17094140" TargetMode="External"/><Relationship Id="rId87" Type="http://schemas.openxmlformats.org/officeDocument/2006/relationships/hyperlink" Target="https://doi.org/10.3390/su172210313" TargetMode="External"/><Relationship Id="rId89" Type="http://schemas.openxmlformats.org/officeDocument/2006/relationships/hyperlink" Target="https://doi.org/10.36680/j.itcon.2021.005" TargetMode="External"/><Relationship Id="rId99" Type="http://schemas.openxmlformats.org/officeDocument/2006/relationships/hyperlink" Target="https://doi.org/10.3758/s13428-026-02961-x" TargetMode="External"/><Relationship Id="rId79" Type="http://schemas.openxmlformats.org/officeDocument/2006/relationships/hyperlink" Target="https://doi.org/10.3895/gi.v16n3.8968" TargetMode="External"/><Relationship Id="rId107" Type="http://schemas.openxmlformats.org/officeDocument/2006/relationships/hyperlink" Target="https://doi.org/10.47179/abcustos.v19i1.719" TargetMode="External"/><Relationship Id="rId119" Type="http://schemas.openxmlformats.org/officeDocument/2006/relationships/hyperlink" Target="https://doi.org/10.56065/pdpyke84" TargetMode="External"/><Relationship Id="rId85" Type="http://schemas.openxmlformats.org/officeDocument/2006/relationships/hyperlink" Target="https://www.crossref.org/documentation/retrieve-metadata/re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Manutenção sustentável em edificações universitárias públicas: revisão bibliométrica e protocolo multicritério</dc:title>
  <dc:creator>Adinailson Guimarães de Oliveira Programa de Pós-Graduação em Biossistemas Universidade Federal do Sul da Bahia (UFSB)</dc:creator>
  <cp:keywords/>
  <dcterms:created xsi:type="dcterms:W3CDTF">2026-07-14T02:06:07Z</dcterms:created>
  <dcterms:modified xsi:type="dcterms:W3CDTF">2026-07-14T02:06:07Z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ies>
</file>