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e preservando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 sensibilidade elevou a identificação de aprendizado de máquina de nove para 26 registros. Os 17 incorporados concentraram-se em previsão, diagnóstico e integração tecnológica;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while preserving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The sensitivity search increased machine-learning records from nine to 26. The 17 incorporated records focused on prediction, diagnosis, and technological integration, while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w:t>
      </w:r>
    </w:p>
    <w:p>
      <w:pPr>
        <w:pStyle w:val="BodyText"/>
        <w:rPr/>
      </w:pPr>
      <w:r>
        <w:rPr/>
        <w:t>Séries de custos e registros de ordens de serviço apoiam previsão orçamentária e reconhecimento de padrões de demanda (Martins and Espejo 2024; Morais, Paula, and Reis 2023).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tornam explícitas as compensações entre esses objetivos quando critérios, indicadores, pesos, regras de veto e incertezas são documentados (Alfalah et al. 2022; Naji, Gunduz, and Maki 2023; Masmoudi et al. 2026).</w:t>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Este artigo estabelece uma conexão rastreável entre evidência científica, variável observável e regra pública de decisão,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formam camadas articuladas de evidência para orientar sua futura parametrização e validação.</w:t>
      </w:r>
      <w:bookmarkEnd w:id="1"/>
    </w:p>
    <w:p>
      <w:pPr>
        <w:pStyle w:val="Heading1"/>
        <w:rPr/>
      </w:pPr>
      <w:bookmarkStart w:id="2" w:name="sec%3Arevisao"/>
      <w:r>
        <w:rPr/>
        <w:t>Fundamentos teóricos da manutenção sustentável</w:t>
      </w:r>
    </w:p>
    <w:p>
      <w:pPr>
        <w:pStyle w:val="FirstParagraph"/>
        <w:rPr/>
      </w:pPr>
      <w:r>
        <w:rPr/>
        <w:t xml:space="preserve">A literatura sustenta cinco correntes complementares: técnica-operacional, ambiental e de ciclo de vida, social e ocupacional, informacional e digital e integração multicritério (Nägeli et al. 2019; Nielsen, Sarasoja, and Galamba 2016; Alfalah et al. 2022; Deng, Menassa, and Kamat 2021; Masmoudi et al. 2026). Essa organização complementa a classificação empírica do corpus e orienta sua conversão em especificação operacional. MCDM designa </w:t>
      </w:r>
      <w:r>
        <w:rPr>
          <w:i/>
          <w:iCs/>
        </w:rPr>
        <w:t>multi-criteria decision-making</w:t>
      </w:r>
      <w:r>
        <w:rPr/>
        <w:t xml:space="preserve"> e MCDA, </w:t>
      </w:r>
      <w:r>
        <w:rPr>
          <w:i/>
          <w:iCs/>
        </w:rPr>
        <w:t>multi-criteria decision analysis</w:t>
      </w:r>
      <w:r>
        <w:rPr/>
        <w:t xml:space="preserve">; AHP, TOPSIS e ANP correspondem, respectivamente, a </w:t>
      </w:r>
      <w:r>
        <w:rPr>
          <w:i/>
          <w:iCs/>
        </w:rPr>
        <w:t>Analytic Hierarchy Process</w:t>
      </w:r>
      <w:r>
        <w:rPr/>
        <w:t xml:space="preserve">, </w:t>
      </w:r>
      <w:r>
        <w:rPr>
          <w:i/>
          <w:iCs/>
        </w:rPr>
        <w:t>Technique for Order Preference by Similarity to Ideal Solution</w:t>
      </w:r>
      <w:r>
        <w:rPr/>
        <w:t xml:space="preserve"> e </w:t>
      </w:r>
      <w:r>
        <w:rPr>
          <w:i/>
          <w:iCs/>
        </w:rPr>
        <w:t>Analytic Network Process</w:t>
      </w:r>
      <w:r>
        <w:rPr/>
        <w:t>. A Tabela </w:t>
      </w:r>
      <w:hyperlink w:anchor="tab%3Acorrentesteoricas">
        <w:r>
          <w:rPr>
            <w:rStyle w:val="Hyperlink"/>
          </w:rPr>
          <w:t>1</w:t>
        </w:r>
      </w:hyperlink>
      <w:r>
        <w:rPr/>
        <w:t xml:space="preserve"> sintetiza o papel de cada corrente.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corrente técnica-operacional associa manutenção ao ciclo de vida, à confiabilidade e ao desempenho do ativo (Nägeli et al. 2019; Othman and Kamal 2023). O planejamento conjunto de manutenção e renovação coordena condição física, energia e orçamento, enquanto a manutenibilidade incorpora ao projeto acesso, segurança e custo de futuras intervenções (Nägeli et al. 2019; Othman and Kamal 2023; Chew and Conejos 2016; Conejos, Chew, and Azril 2019). Dessa corrente derivam desempenho, risco, condição física, vida útil e qualidade do serviço.</w:t>
      </w:r>
    </w:p>
    <w:p>
      <w:pPr>
        <w:pStyle w:val="BodyText"/>
        <w:rPr/>
      </w:pPr>
      <w:r>
        <w:rPr/>
        <w:t>A corrente ambiental e de ciclo de vida integra energia, emissões, água, resíduos e efeitos intertemporais aos níveis estratégico, tático e operacional da gestão de facilidades (Nielsen, Sarasoja, and Galamba 2016; Opoku and Lee 2022; Okoro 2023). O ciclo de vida funciona, na especificação, como eixo transversal entre custos, riscos e impactos futuros, apoiado pela abordagem conjunta de manutenção, renovação e energia (Nägeli et al. 2019).</w:t>
      </w:r>
    </w:p>
    <w:p>
      <w:pPr>
        <w:pStyle w:val="BodyText"/>
        <w:rPr/>
      </w:pPr>
      <w:r>
        <w:rPr/>
        <w:t>Por sua vez, a corrente social e ocupacional inclui as pessoas que utilizam e operam a edificação. Segurança, conforto, satisfação, acessibilidade e continuidade acadêmica articulam desempenho técnico, energia e percepção dos usuários em edifícios educacionais (Nielsen, Sarasoja, and Galamba 2016; Alfalah et al. 2022).</w:t>
      </w:r>
    </w:p>
    <w:p>
      <w:pPr>
        <w:pStyle w:val="BodyText"/>
        <w:rPr/>
      </w:pPr>
      <w:r>
        <w:rPr/>
        <w:t xml:space="preserve">A corrente informacional e digital organiza cadastro, condição, operação e histórico por BIM, </w:t>
      </w:r>
      <w:r>
        <w:rPr>
          <w:i/>
          <w:iCs/>
        </w:rPr>
        <w:t>digital twins</w:t>
      </w:r>
      <w:r>
        <w:rPr/>
        <w:t>, sensores e ontologias (Deng, Menassa, and Kamat 2021; Espinosa Gispert et al. 2025; Goretti and Kaming 2023). Modelos treinados acrescentam estimativas de demanda, vida útil e anomalias, como mostram aplicações de ventilação, regressão em grafos e IoT com IA (Motuzienė et al. 2025; Wu and Mundt-Petersen 2025; Das 2025). A Seção </w:t>
      </w:r>
      <w:hyperlink w:anchor="sec%3Ametodos">
        <w:r>
          <w:rPr>
            <w:rStyle w:val="Hyperlink"/>
          </w:rPr>
          <w:t>7</w:t>
        </w:r>
      </w:hyperlink>
      <w:r>
        <w:rPr/>
        <w:t xml:space="preserve"> concentra a análise dessas evidências e de sua relação com a decisão institucional.</w:t>
      </w:r>
    </w:p>
    <w:p>
      <w:pPr>
        <w:pStyle w:val="BodyText"/>
        <w:rPr/>
      </w:pPr>
      <w:bookmarkStart w:id="3" w:name="sec%3Arevisao"/>
      <w:r>
        <w:rPr/>
        <w:t>Finalmente, a integração multicritério estrutura conflitos entre objetivos. AHP, TOPSIS e ANP apoiam ponderação e ordenação; Delphi, construção de consenso; métodos fuzzy, julgamentos linguísticos; e otimização, restrições e combinações (Alfalah et al. 2022; Naji, Gunduz, and Maki 2023; Masmoudi et al. 2026). A escolha deve refletir o problema decisório, a qualidade dos dados, a compensabilidade dos critérios e a capacidade dos usuários.</w:t>
      </w:r>
      <w:bookmarkEnd w:id="3"/>
    </w:p>
    <w:p>
      <w:pPr>
        <w:pStyle w:val="Heading1"/>
        <w:rPr/>
      </w:pPr>
      <w:bookmarkStart w:id="4"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e o núcleo temático não constitui subconjunto estrito da camada bibliométrica.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explicita pergunta, busca, seleção, extração e síntese, elementos de transparência e reprodutibilidade destacados por Hu et al. (2026). O escopo declarado distingue esses procedimentos das etapas de pré-registro, dupla revisão, avaliação de risco de viés, elegibilidade integral em texto completo e metanálise.</w:t>
      </w:r>
    </w:p>
    <w:p>
      <w:pPr>
        <w:pStyle w:val="Heading2"/>
        <w:rPr/>
      </w:pPr>
      <w:bookmarkStart w:id="5" w:name="Xca0b6dcf81fd8d2c8a9c0a77c769b2ff979df2a"/>
      <w:bookmarkEnd w:id="5"/>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reduz variações de execução: a mesma entrada, versão do código e parâmetros produzem a mesma saída. A subjetividade permanece explicitada no manual de codificação, nos limiares, nas categorias, nas expressões de busca e nas decisões sobre casos duvidosos. A automação torna essas escolhas reproduzíveis e auditáveis.</w:t>
      </w:r>
    </w:p>
    <w:p>
      <w:pPr>
        <w:pStyle w:val="BodyText"/>
        <w:rPr/>
      </w:pPr>
      <w:r>
        <w:rPr/>
        <w:t>O desenho priorizou fontes com metadados bibliográficos interoperáveis e campos necessários à deduplicação e à análise. Essa escolha favorece a comparabilidade e delimita a cobertura de relatórios técnicos, normas internas, planos de manutenção e experiências institucionais presentes na literatura cinzenta.</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6" w:name="Xca0b6dcf81fd8d2c8a9c0a77c769b2ff979df2a"/>
      <w:bookmarkStart w:id="7" w:name="Xca0b6dcf81fd8d2c8a9c0a77c769b2ff979df2a"/>
      <w:bookmarkEnd w:id="7"/>
    </w:p>
    <w:p>
      <w:pPr>
        <w:pStyle w:val="Heading2"/>
        <w:rPr/>
      </w:pPr>
      <w:bookmarkStart w:id="8"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bookmarkStart w:id="9" w:name="X961280b3a45a67e41e71da47b94b36fd32344d7"/>
      <w:r>
        <w:rPr/>
        <w:t>A aplicação dessas regras consolidou 12.118 ocorrências em 9.542 registros únicos e removeu 2.576 repetições. Dos 1.808 grupos com duplicidade, 1.635 foram agrupados por DOI e 173 por título normalizado; 98 conflitos de identificadores permaneceram separados. O procedimento adotou igualdade exata e preservou distinções entre trabalhos de evento e artigos posteriores. A Tabela S1 do material suplementar apresenta os indicadores completos.</w:t>
      </w:r>
      <w:bookmarkEnd w:id="9"/>
    </w:p>
    <w:p>
      <w:pPr>
        <w:pStyle w:val="Heading2"/>
        <w:rPr/>
      </w:pPr>
      <w:bookmarkStart w:id="10"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6</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os demais permaneceram caracterizados pela documentação bibliográfica disponível.</w:t>
      </w:r>
    </w:p>
    <w:p>
      <w:pPr>
        <w:pStyle w:val="BodyText"/>
        <w:rPr/>
      </w:pPr>
      <w:bookmarkStart w:id="11"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1"/>
    </w:p>
    <w:p>
      <w:pPr>
        <w:pStyle w:val="Heading2"/>
        <w:rPr/>
      </w:pPr>
      <w:bookmarkStart w:id="12"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3" w:name="sec%3Ametodologia"/>
      <w:bookmarkStart w:id="14"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3"/>
      <w:bookmarkEnd w:id="14"/>
    </w:p>
    <w:p>
      <w:pPr>
        <w:pStyle w:val="Heading1"/>
        <w:rPr/>
      </w:pPr>
      <w:bookmarkStart w:id="15" w:name="sec%3Apanorama"/>
      <w:r>
        <w:rPr/>
        <w:t>Panorama do núcleo temático</w:t>
      </w:r>
    </w:p>
    <w:p>
      <w:pPr>
        <w:pStyle w:val="FirstParagraph"/>
        <w:rPr/>
      </w:pPr>
      <w:r>
        <w:rPr/>
        <w:t>O núcleo temático vigente reúne 121 registros publicados entre 2010 e 2026: 104 do núcleo original e 17 incorporados pela busca de sensibilidade para inteligência artificial e aprendizado de máquina (Seção </w:t>
      </w:r>
      <w:hyperlink w:anchor="sec%3Abuscaia">
        <w:r>
          <w:rPr>
            <w:rStyle w:val="Hyperlink"/>
          </w:rPr>
          <w:t>3.4</w:t>
        </w:r>
      </w:hyperlink>
      <w:r>
        <w:rPr/>
        <w:t>). Entre 2019 e 2026 concentram-se 101 registros (83,5%), com máximo de 29 estudos em 2025.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Distribuição temporal do núcleo temático vigente</w:t>
      </w:r>
    </w:p>
    <w:p>
      <w:pPr>
        <w:pStyle w:val="BodyText"/>
        <w:rPr/>
      </w:pPr>
      <w:r>
        <w:rPr/>
        <w:t>A deduplicação preservou a proveniência múltipla. Entre os 121 registros, 67 vieram apenas da Scopus, 41 da Scopus e da Web of Science, sete apenas da Web of Science, três das três bases, dois da Scopus e do Crossref e um apenas do Crossref. Assim, 113 registros possuem origem Scopus, 51 Web of Science e seis Crossref, contagens que se sobrepõem dentro do mesmo núcleo. A baixa disponibilidade de resumos no Crossref reduziu sua contribuição à triagem, e os 17 registros da sensibilidade vieram de outras combinações de bases.</w:t>
      </w:r>
    </w:p>
    <w:p>
      <w:pPr>
        <w:pStyle w:val="BodyText"/>
        <w:rPr/>
      </w:pPr>
      <w:r>
        <w:rPr/>
        <w:t xml:space="preserve">Os tipos documentais também foram harmonizados: </w:t>
      </w:r>
      <w:r>
        <w:rPr>
          <w:i/>
          <w:iCs/>
        </w:rPr>
        <w:t>Journal</w:t>
      </w:r>
      <w:r>
        <w:rPr/>
        <w:t xml:space="preserve">, </w:t>
      </w:r>
      <w:r>
        <w:rPr>
          <w:i/>
          <w:iCs/>
        </w:rPr>
        <w:t>JOUR</w:t>
      </w:r>
      <w:r>
        <w:rPr/>
        <w:t xml:space="preserve"> e </w:t>
      </w:r>
      <w:r>
        <w:rPr>
          <w:i/>
          <w:iCs/>
        </w:rPr>
        <w:t>journal-article</w:t>
      </w:r>
      <w:r>
        <w:rPr/>
        <w:t xml:space="preserve"> formam a categoria artigo de periódico; </w:t>
      </w:r>
      <w:r>
        <w:rPr>
          <w:i/>
          <w:iCs/>
        </w:rPr>
        <w:t>Conference Proceeding</w:t>
      </w:r>
      <w:r>
        <w:rPr/>
        <w:t xml:space="preserve"> e </w:t>
      </w:r>
      <w:r>
        <w:rPr>
          <w:i/>
          <w:iCs/>
        </w:rPr>
        <w:t>CPAPER</w:t>
      </w:r>
      <w:r>
        <w:rPr/>
        <w:t xml:space="preserve">, trabalho em evento; </w:t>
      </w:r>
      <w:r>
        <w:rPr>
          <w:i/>
          <w:iCs/>
        </w:rPr>
        <w:t>Book Series</w:t>
      </w:r>
      <w:r>
        <w:rPr/>
        <w:t xml:space="preserve"> e </w:t>
      </w:r>
      <w:r>
        <w:rPr>
          <w:i/>
          <w:iCs/>
        </w:rPr>
        <w:t>Book</w:t>
      </w:r>
      <w:r>
        <w:rPr/>
        <w:t>, livro ou série de livro. A Tabela </w:t>
      </w:r>
      <w:hyperlink w:anchor="tab%3Abasetipo">
        <w:r>
          <w:rPr>
            <w:rStyle w:val="Hyperlink"/>
          </w:rPr>
          <w:t>7</w:t>
        </w:r>
      </w:hyperlink>
      <w:r>
        <w:rPr/>
        <w:t xml:space="preserve"> apresenta proveniência e tipologia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6" w:name="sec%3Apanorama"/>
      <w:r>
        <w:rPr/>
        <w:t>A composição indica predomínio de artigos de periódico e forte presença da Scopus. A sobreposição entre bases registra caminhos de recuperação do mesmo estudo, enquanto a avaliação da evidência depende do conteúdo de cada registro.</w:t>
      </w:r>
      <w:bookmarkEnd w:id="16"/>
    </w:p>
    <w:p>
      <w:pPr>
        <w:pStyle w:val="Heading1"/>
        <w:rPr/>
      </w:pPr>
      <w:bookmarkStart w:id="17" w:name="sec%3Abibliometriaampliada"/>
      <w:r>
        <w:rPr/>
        <w:t>Estrutura bibliométrica do campo</w:t>
      </w:r>
    </w:p>
    <w:p>
      <w:pPr>
        <w:pStyle w:val="FirstParagraph"/>
        <w:rPr/>
      </w:pPr>
      <w:r>
        <w:rPr/>
        <w:t>A camada bibliométrica utilizou 372 registros com aderência simultânea ao objeto predial, à manutenção ou gestão, à sustentabilidade e à presença de método, dados ou resultados. Desse conjunto, 109 também integram o núcleo temático vigente, 263 são exclusivos da camada bibliométrica e 12 pertencem apenas ao núcleo temático; as duas camadas cumprem, portanto, funções analíticas complementares. Todos os registros possuíam título, ano, fonte e resumo; 329 (88,4%) continham palavras-chave, 327 (87,9%) DOI e 91 (24,5%) autores. A completude disponível sustentou as análises de fontes e palavras-chave, enquanto afiliações e referências citadas seriam necessárias para redes representativas de colaboração e acoplamento.</w:t>
      </w:r>
    </w:p>
    <w:p>
      <w:pPr>
        <w:pStyle w:val="BodyText"/>
        <w:rPr/>
      </w:pPr>
      <w:r>
        <w:rPr/>
        <w:t xml:space="preserve">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coocorrência no mesmo registro normalizada pelo cosseno das frequências marginais; o mapa temático posiciona os 40 termos mais frequentes por centralidade externa e densidade interna; e a evolução compara 157 registros de 2010–2020 com 215 de 2021–2026. Essas medidas descrevem associações documentais, com interpretação restrita à estrutura temática do corpus.</w:t>
      </w:r>
    </w:p>
    <w:p>
      <w:pPr>
        <w:pStyle w:val="BodyText"/>
        <w:rPr/>
      </w:pPr>
      <w:r>
        <w:rPr/>
        <w:t>O Gráfico </w:t>
      </w:r>
      <w:hyperlink w:anchor="fig%3Afontes372">
        <w:r>
          <w:rPr>
            <w:rStyle w:val="Hyperlink"/>
          </w:rPr>
          <w:t>3</w:t>
        </w:r>
      </w:hyperlink>
      <w:r>
        <w:rPr/>
        <w:t xml:space="preserve"> sintetiza 208 fontes. O núcleo aproximado de Bradford reuniu 13 delas,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combinação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O primeiro articulou BIM, desempenho da edificação e </w:t>
      </w:r>
      <w:r>
        <w:rPr>
          <w:i/>
          <w:iCs/>
        </w:rPr>
        <w:t>digital twins</w:t>
      </w:r>
      <w:r>
        <w:rPr/>
        <w:t>, com centralidade e densidade acima das medianas; o segundo aproximou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BIM associa-se a gestão de facilidades, </w:t>
      </w:r>
      <w:r>
        <w:rPr>
          <w:i/>
          <w:iCs/>
        </w:rPr>
        <w:t>digital twins</w:t>
      </w:r>
      <w:r>
        <w:rPr/>
        <w:t>, manutenção preditiva, operação e desempenho; gestão de facilidades, a desempenho, operação e manutenção, gestão de ativos e internet das coisas. Em outro agrupamento, avaliação do ciclo de vida aproxima-se de edificações residenciais e desenvolvimento sustentável. As ligações registram vocabulários compartilhados e orientam a síntese temática subsequente.</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Edificação verde, eficiência energética, manutenção predial e desempenho da edificação perderam participação relativa, movimento compatível com a incorporação de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A síntese dos 121 registros, apresentada a seguir, verifica como essa transição se converte em dimensões, critérios, métodos e regras aplicáveis à priorização pública universitária.</w:t>
      </w:r>
      <w:bookmarkEnd w:id="17"/>
    </w:p>
    <w:p>
      <w:pPr>
        <w:pStyle w:val="Heading1"/>
        <w:rPr/>
      </w:pPr>
      <w:bookmarkStart w:id="18" w:name="sec%3Acriterios"/>
      <w:r>
        <w:rPr/>
        <w:t>Critérios de sustentabilidade e priorização</w:t>
      </w:r>
    </w:p>
    <w:p>
      <w:pPr>
        <w:pStyle w:val="FirstParagraph"/>
        <w:rPr/>
      </w:pPr>
      <w:r>
        <w:rPr/>
        <w:t>A análise das dimensões revelou seis categorias com respostas múltiplas: técnica-operacional em 116 registros, institucional em 97, ambiental em 92, ciclo de vida em 65, econômica em 63 e social em 59. O predomínio das duas primeiras reflete a amplitude do manual de codificação e descreve a composição documental do núcleo. O resultado converge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desempenho sustenta indicadores de continuidade e falha; informação, requisitos de rastreabilidade; e custo, a distinção entre correção emergencial, manutenção planejada e renovação. Registros de pagamento e planejamento conjunto de manutenção, renovação e energia reforçam essa combinação (Kim et al. 2018; Nägeli et al. 2019).</w:t>
      </w:r>
    </w:p>
    <w:p>
      <w:pPr>
        <w:pStyle w:val="BodyText"/>
        <w:rPr/>
      </w:pPr>
      <w:bookmarkStart w:id="19" w:name="sec%3Acriterios"/>
      <w:r>
        <w:rPr/>
        <w:t>As leituras integrais qualificam relações entre os critérios. Operação e manutenção podem superar 80% do custo total do ciclo de vida, enquanto seus custos anuais podem representar de 50% a 70% dos custos operacionais, bases de cálculo que devem permanecer distintas (Aliu et al. 2025). Decisões de concepção podem evitar até 50% das dificuldades de manutenção (Othman and Kamal 2023); em sistemas vegetados verticais, acesso, irrigação, drenagem, segurança, degradação e coordenação conectam manutenibilidade a desempenho, custo, risco e recursos (Chew and Conejos 2016; Conejos, Chew, and Azril 2019).</w:t>
      </w:r>
      <w:bookmarkEnd w:id="19"/>
    </w:p>
    <w:p>
      <w:pPr>
        <w:pStyle w:val="Heading1"/>
        <w:rPr/>
      </w:pPr>
      <w:bookmarkStart w:id="20" w:name="sec%3Ametodos"/>
      <w:r>
        <w:rPr/>
        <w:t>Métodos de apoio à decisão</w:t>
      </w:r>
    </w:p>
    <w:p>
      <w:pPr>
        <w:pStyle w:val="FirstParagraph"/>
        <w:rPr/>
      </w:pPr>
      <w:r>
        <w:rPr/>
        <w:t xml:space="preserve">Sobre os métodos de apoio à decisão, a categoria ampla </w:t>
      </w:r>
      <w:r>
        <w:rPr>
          <w:rStyle w:val="VerbatimChar"/>
        </w:rPr>
        <w:t>framework</w:t>
      </w:r>
      <w:r>
        <w:rPr/>
        <w:t xml:space="preserve"> reuniu 101 registros. A modelagem da informação da construção (BIM, do inglês </w:t>
      </w:r>
      <w:r>
        <w:rPr>
          <w:i/>
          <w:iCs/>
        </w:rPr>
        <w:t>Building Information Modeling</w:t>
      </w:r>
      <w:r>
        <w:rPr/>
        <w:t xml:space="preserve">)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descreve estruturas, modelos e referenciais com graus variados de formalização.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cumprem funções distintas: ANP difuso na avaliação de edifícios educacionais (Alfalah et al. 2022), Delphi modificado na gestão de </w:t>
      </w:r>
      <w:r>
        <w:rPr>
          <w:i/>
          <w:iCs/>
        </w:rPr>
        <w:t>campus</w:t>
      </w:r>
      <w:r>
        <w:rPr/>
        <w:t xml:space="preserve"> (Naji, Gunduz, and Maki 2023) e AHP, TOPSIS e otimização na alocação de prestadores públicos (Masmoudi et al. 2026).</w:t>
      </w:r>
    </w:p>
    <w:p>
      <w:pPr>
        <w:pStyle w:val="BodyText"/>
        <w:rPr/>
      </w:pPr>
      <w:r>
        <w:rPr/>
        <w:t xml:space="preserve">A leitura integral do lote incorporado esclarece a RQ6 ao separar produção de variáveis operacionais e governança decisória. Modelos de aprendizado de máquina estimaram demanda de ventilação, com economia de até 7,5% frente ao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para a GCN (Wu and Mundt-Petersen 2025); e consumo de eletricidade, gás e água com conjuntos separados de treino, validação e teste (Suh and Chang 2012). Diagnóstico, classificação de danos e apoio operacional completam o lote, mantendo a caracterização por resumo nos casos sem texto integral.</w:t>
      </w:r>
    </w:p>
    <w:p>
      <w:pPr>
        <w:pStyle w:val="BodyText"/>
        <w:rPr/>
      </w:pPr>
      <w:r>
        <w:rPr/>
        <w:t>Duas revisões qualificam o alcance dessa evidência. A síntese de IoT e IA identificou concentração no Norte Global e desafios de interoperabilidade, privacidade, governança e ciclo de vida (Das 2025). Entre 76 estudos sobre ambientes internos conectados, 41 integraram energia, conforto e sustentabilidade e 35 cobriram apenas parte dessas dimensões (Alici 2026). A busca de sensibilidade revela, assim, uma camada consistente de previsão, diagnóstico e operação, enquanto a integração com preferências institucionais, ponderação e regras de veto permanece como etapa decisória adicional.</w:t>
      </w:r>
    </w:p>
    <w:p>
      <w:pPr>
        <w:pStyle w:val="BodyText"/>
        <w:rPr/>
      </w:pPr>
      <w:r>
        <w:rPr/>
        <w:t>A matriz comparativa dos 17 registros, mantida no material suplementar, classifica dez estudos em previsão ou previsão com otimização, dois em diagnóstico e classificação de danos e cinco em síntese ou integração tecnológica. Três aproximam a saída de uma ação operacional; os demais produzem estimativas, diagnósticos ou infraestrutura informacional. Em conjunto, o lote cobre partes da cadeia entre treinamento, validação, critérios, vetos e decisão pública auditável, oferecendo entradas para a especificação proposta.</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Esses casos distinguem menção conceitual, aplicação formal e validação empírica e orientam a escolha contextual do método.</w:t>
      </w:r>
      <w:bookmarkEnd w:id="20"/>
    </w:p>
    <w:p>
      <w:pPr>
        <w:pStyle w:val="Heading1"/>
        <w:rPr/>
      </w:pPr>
      <w:bookmarkStart w:id="21" w:name="sec%3Aaplicabilidade"/>
      <w:r>
        <w:rPr/>
        <w:t>Aplicabilidade a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As categorias admitem respostas múltiplas, e um registro permaneceu com contexto indeterminado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especificamente como </w:t>
      </w:r>
      <w:r>
        <w:rPr>
          <w:rStyle w:val="VerbatimChar"/>
        </w:rPr>
        <w:t>lacuna_para_ies_publicas</w:t>
      </w:r>
      <w:r>
        <w:rPr/>
        <w:t>, categoria que reúne problemas de transferência, cobertura ou validação relacionados a instituições públicas de ensino superior. Seus identificadores permanecem preservados na tabela-fonte do núcleo vigente.</w:t>
      </w:r>
    </w:p>
    <w:p>
      <w:pPr>
        <w:pStyle w:val="BodyText"/>
        <w:rPr/>
      </w:pPr>
      <w:r>
        <w:rPr/>
        <w:t xml:space="preserve">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o ganho ampliou a evidência tecnológica, e não a diversidade institucional.</w:t>
      </w:r>
    </w:p>
    <w:p>
      <w:pPr>
        <w:pStyle w:val="BodyText"/>
        <w:rPr/>
      </w:pPr>
      <w:r>
        <w:rPr/>
        <w:t>Contextos africanos acrescentam resiliência, governança, usuários e continuidade acadêmica à condição física (Awuzie and Isa 2017; Ndukuba 2025). Esses achados funcionam como hipóteses de transferência para validação brasileira. Em texto completo, um instrumento estrangeiro exigiu adaptação e concordância profissional em hospital público (Talib, Rajagopalan, and Yang 2013); três projetos mostraram perdas de informação entre construção e operação, enfrentadas por BIM, entrega suave (</w:t>
      </w:r>
      <w:r>
        <w:rPr>
          <w:i/>
          <w:iCs/>
        </w:rPr>
        <w:t>Soft Landings</w:t>
      </w:r>
      <w:r>
        <w:rPr/>
        <w:t>) e comunicação (Tan, Zaman, and Sutrisna 2018). Em conjunto, as evidências sustentam governança da informação e validação contextual da especificação.</w:t>
      </w:r>
      <w:bookmarkEnd w:id="21"/>
    </w:p>
    <w:p>
      <w:pPr>
        <w:pStyle w:val="Heading1"/>
        <w:rPr/>
      </w:pPr>
      <w:bookmarkStart w:id="22"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e </w:t>
      </w:r>
      <w:r>
        <w:rPr>
          <w:rStyle w:val="VerbatimChar"/>
        </w:rPr>
        <w:t>framework</w:t>
      </w:r>
      <w:r>
        <w:rPr/>
        <w:t>, 57; e vida útil e custo do ciclo de vida, 16. As coocorrências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a institucional tem 88, a ambiental 81, a econômica 56 e a social 54 coocorrências com </w:t>
      </w:r>
      <w:r>
        <w:rPr>
          <w:rStyle w:val="VerbatimChar"/>
        </w:rPr>
        <w:t>framework</w:t>
      </w:r>
      <w:r>
        <w:rPr/>
        <w:t>.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Matriz de coocorrência entre dimensões de sustentabilidade e instrumentos de apoio à decisão</w:t>
      </w:r>
    </w:p>
    <w:p>
      <w:pPr>
        <w:pStyle w:val="BodyText"/>
        <w:rPr/>
      </w:pPr>
      <w:r>
        <w:rPr/>
        <w:t>A matriz separa evidência extraída e especificação autoral. Energia, emissões, água e resíduos compõem a dimensão ambiental; custo, a econômica; segurança, conforto e satisfação, a social; e desempenho, informação, vida útil, risco, condição, manutenibilidade e qualidade do serviço, a técnica-operacional. A dimensão institucional, presente em 97 registros, fundamenta os desdobramentos candidatos de conformidade, governança e capacidade de execução. As frequências sustentam a seleção inicial, enquanto pesos e importância normativa serão definidos na validação institucional.</w:t>
      </w:r>
    </w:p>
    <w:p>
      <w:pPr>
        <w:pStyle w:val="BodyText"/>
        <w:rPr/>
      </w:pPr>
      <w:r>
        <w:rPr/>
        <w:t>A Tabela </w:t>
      </w:r>
      <w:hyperlink w:anchor="tab%3Aprotocolooperacional">
        <w:r>
          <w:rPr>
            <w:rStyle w:val="Hyperlink"/>
          </w:rPr>
          <w:t>10</w:t>
        </w:r>
      </w:hyperlink>
      <w:r>
        <w:rPr/>
        <w:t xml:space="preserve"> liga critérios candidatos às evidências da revisão.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 preferência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menor</w:t>
            </w:r>
          </w:p>
        </w:tc>
      </w:tr>
    </w:tbl>
    <w:p>
      <w:pPr>
        <w:pStyle w:val="Normal"/>
        <w:rPr/>
      </w:pPr>
      <w:r>
        <w:rPr/>
      </w:r>
    </w:p>
    <w:p>
      <w:pPr>
        <w:pStyle w:val="BodyText"/>
        <w:rPr/>
      </w:pPr>
      <w:r>
        <w:rPr/>
        <w:t>A Figura </w:t>
      </w:r>
      <w:hyperlink w:anchor="fig%3Afluxoprotocolo">
        <w:r>
          <w:rPr>
            <w:rStyle w:val="Hyperlink"/>
          </w:rPr>
          <w:t>11</w:t>
        </w:r>
      </w:hyperlink>
      <w:r>
        <w:rPr/>
        <w:t xml:space="preserve"> resume o fluxo. A unidade de comparação precede a coleta; critérios e indicadores são validados antes da elicitação dos pesos; e a divulgação da prioridade ocorre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3" w:name="sec%3Amatriz"/>
      <w:r>
        <w:rPr/>
        <w:t>A matriz converte dimensões e critérios recorrentes em indicadores candidatos e etapas verificáveis, sintetizando a resposta à RQ0. O produto entrega uma especificação para validação futura; a participação institucional e os dados reais completarão indicadores, normalização, pesos, agregação, limiares e vetos.</w:t>
      </w:r>
      <w:bookmarkEnd w:id="23"/>
    </w:p>
    <w:p>
      <w:pPr>
        <w:pStyle w:val="Heading1"/>
        <w:rPr/>
      </w:pPr>
      <w:bookmarkStart w:id="24" w:name="sec%3Adiscussao"/>
      <w:r>
        <w:rPr/>
        <w:t>Discussão</w:t>
      </w:r>
    </w:p>
    <w:p>
      <w:pPr>
        <w:pStyle w:val="Heading2"/>
        <w:rPr/>
      </w:pPr>
      <w:bookmarkStart w:id="25" w:name="maturidade-e-transição-do-campo"/>
      <w:r>
        <w:rPr/>
        <w:t>Maturidade e transição do campo</w:t>
      </w:r>
    </w:p>
    <w:p>
      <w:pPr>
        <w:pStyle w:val="FirstParagraph"/>
        <w:rPr/>
      </w:pPr>
      <w:r>
        <w:rPr/>
        <w:t xml:space="preserve">A literatura converge para a manutenção como gestão de ativos e facilidades, combinando desempenho, governança, ambiente, ciclo de vida, custos e usuários (Nielsen, Sarasoja, and Galamba 2016; Opoku and Lee 2022; Okoro 2023). Embora 83,5% do núcleo temático se concentre entre 2019 e 2026 e BIM, </w:t>
      </w:r>
      <w:r>
        <w:rPr>
          <w:i/>
          <w:iCs/>
        </w:rPr>
        <w:t>digital twin</w:t>
      </w:r>
      <w:r>
        <w:rPr/>
        <w:t>, carbono e ciclo de vida tenham crescido, a síntese revela avanço informacional mais rápido que a integração decisória. As leituras detalhadas na Seção </w:t>
      </w:r>
      <w:hyperlink w:anchor="sec%3Ametodos">
        <w:r>
          <w:rPr>
            <w:rStyle w:val="Hyperlink"/>
          </w:rPr>
          <w:t>7</w:t>
        </w:r>
      </w:hyperlink>
      <w:r>
        <w:rPr/>
        <w:t xml:space="preserve"> cobrem integração de dados, previsão, simulação e estruturação parcial, com desafios persistentes de interoperabilidade, validação e governança (Deng, Menassa, and Kamat 2021; Espinosa Gispert et al. 2025; Goretti and Kaming 2023; Das 2025; Alici 2026).</w:t>
      </w:r>
    </w:p>
    <w:p>
      <w:pPr>
        <w:pStyle w:val="BodyText"/>
        <w:rPr/>
      </w:pPr>
      <w:bookmarkStart w:id="26" w:name="maturidade-e-transição-do-campo"/>
      <w:r>
        <w:rPr/>
        <w:t>A busca de sensibilidade qualifica essa transição. Seus 17 registros ampliam modelos preditivos e diagnósticos, enquanto a conexão com validação externa, preferências institucionais, ponderação e vetos permanece fragmentada (Das 2025; Alfalah et al. 2022). Na interpretação do autor, a literatura ainda trata a decisão sobretudo como problema técnico; em portfólios públicos, ela também envolve responsabilidade fiscal, transparência e equidade entre comunidades acadêmicas.</w:t>
      </w:r>
      <w:bookmarkEnd w:id="26"/>
    </w:p>
    <w:p>
      <w:pPr>
        <w:pStyle w:val="Heading2"/>
        <w:rPr/>
      </w:pPr>
      <w:bookmarkStart w:id="27" w:name="lacuna-entre-estrutura-e-decisão"/>
      <w:r>
        <w:rPr/>
        <w:t>Lacuna entre estrutura e decisão</w:t>
      </w:r>
    </w:p>
    <w:p>
      <w:pPr>
        <w:pStyle w:val="FirstParagraph"/>
        <w:rPr/>
      </w:pPr>
      <w:r>
        <w:rPr/>
        <w:t xml:space="preserve">A presença de </w:t>
      </w:r>
      <w:r>
        <w:rPr>
          <w:rStyle w:val="VerbatimChar"/>
        </w:rPr>
        <w:t>framework</w:t>
      </w:r>
      <w:r>
        <w:rPr/>
        <w:t xml:space="preserve"> em quase todo o núcleo contrasta com a menor frequência de métodos multicritério nomeados. Estruturas conceituais, indicadores, normalização, ponderação, agregação, sensibilidade e validação ocupam etapas distintas. As aplicações de ANP, Delphi, AHP, TOPSIS e otimização apresentadas na Seção </w:t>
      </w:r>
      <w:hyperlink w:anchor="sec%3Ametodos">
        <w:r>
          <w:rPr>
            <w:rStyle w:val="Hyperlink"/>
          </w:rPr>
          <w:t>7</w:t>
        </w:r>
      </w:hyperlink>
      <w:r>
        <w:rPr/>
        <w:t xml:space="preserve"> demonstram funções específicas, mas sua transferência à gestão universitária depende do contexto e dos dados locais. A lacuna central reside na cadeia entre evidência, variável mensurável, preferência institucional e decisão validada, padrão coerente com a fragmentação entre integração informacional e estruturação decisória (Deng, Menassa, and Kamat 2021; Das 2025).</w:t>
      </w:r>
    </w:p>
    <w:p>
      <w:pPr>
        <w:pStyle w:val="BodyText"/>
        <w:rPr/>
      </w:pPr>
      <w:bookmarkStart w:id="28" w:name="lacuna-entre-estrutura-e-decisão"/>
      <w:r>
        <w:rPr/>
        <w:t>A meu ver, a principal barreira à adoção de métodos multicritério em universidades públicas tende a ser menos a complexidade algorítmica do que a cultura de registro, atualização cadastral e prestação de contas das escolhas. Essa interpretação encontra apoio na importância atribuída a ordens de serviço, custos, vínculo com ativos e histórico de intervenções (Martins and Espejo 2024; Morais, Paula, and Reis 2023).</w:t>
      </w:r>
      <w:bookmarkEnd w:id="28"/>
    </w:p>
    <w:p>
      <w:pPr>
        <w:pStyle w:val="Heading2"/>
        <w:rPr/>
      </w:pPr>
      <w:bookmarkStart w:id="29" w:name="Xa2ca59444cff79a388dd25f783a7bbc6a5b3617"/>
      <w:r>
        <w:rPr/>
        <w:t>Especificidade pública universitária e valor da especificação</w:t>
      </w:r>
    </w:p>
    <w:p>
      <w:pPr>
        <w:pStyle w:val="FirstParagraph"/>
        <w:rPr/>
      </w:pPr>
      <w:r>
        <w:rPr/>
        <w:t xml:space="preserve">Universidades, </w:t>
      </w:r>
      <w:r>
        <w:rPr>
          <w:i/>
          <w:iCs/>
        </w:rPr>
        <w:t>campus</w:t>
      </w:r>
      <w:r>
        <w:rPr/>
        <w:t xml:space="preserve"> e edifícios públicos representam parcelas menores que edificações genéricas e portfólios. Estudos em instituições de ensino africanas mostram que diversidade de usuários, continuidade acadêmica, orçamento, resiliência e governança acompanham a condição física (Awuzie and Isa 2017; Ndukuba 2025). A validação brasileira deve incorporar essas dimensões e adaptar instrumentos e fluxos informacionais à realidade institucional (Talib, Rajagopalan, and Yang 2013; Tan, Zaman, and Sutrisna 2018).</w:t>
      </w:r>
    </w:p>
    <w:p>
      <w:pPr>
        <w:pStyle w:val="BodyText"/>
        <w:rPr/>
      </w:pPr>
      <w:r>
        <w:rPr/>
        <w:t>Por outro lado, a baixa presença lexical de ODS e ESG, diante da recorrência de energia, emissões, segurança, conforto e governança, indica aproximação substantiva ainda pouco expressa por esses rótulos, interpretação compatível com a incorporação emergente de ESG à gestão de facilidades (Ramantswana et al. 2026).</w:t>
      </w:r>
    </w:p>
    <w:p>
      <w:pPr>
        <w:pStyle w:val="BodyText"/>
        <w:rPr/>
      </w:pPr>
      <w:r>
        <w:rPr/>
        <w:t>A especificação proposta liga critérios sustentados pela revisão a indicadores candidatos e a um fluxo de validação. A rastreabilidade fundamenta desempenho, informação, condição, conformidade, custo, energia e usuários; a Tabela </w:t>
      </w:r>
      <w:hyperlink w:anchor="tab%3Aespecificacaoindicadores">
        <w:r>
          <w:rPr>
            <w:rStyle w:val="Hyperlink"/>
          </w:rPr>
          <w:t>11</w:t>
        </w:r>
      </w:hyperlink>
      <w:r>
        <w:rPr/>
        <w:t xml:space="preserve"> acrescenta parametrizações autorais para teste institucional. O fluxo articula validação de conteúdo, qualidade dos dados, normalização, ponderação, agregação, vetos e sensibilidade. Vetos candidatos protegem risco à vida e conformidade legal de compensações econômicas ou ambientais, em coerência com requisitos normativos e responsabilidades administrativas (Associação Brasileira de Normas Técnicas 2012; Araújo Neto 2015).</w:t>
      </w:r>
    </w:p>
    <w:p>
      <w:pPr>
        <w:pStyle w:val="BodyText"/>
        <w:rPr/>
      </w:pPr>
      <w:bookmarkStart w:id="30" w:name="sec%3Adiscussao"/>
      <w:bookmarkStart w:id="31" w:name="Xa2ca59444cff79a388dd25f783a7bbc6a5b3617"/>
      <w:r>
        <w:rPr/>
        <w:t>Desse modo, a contribuição entrega uma base auditável para parametrização e validação futuras. Coocorrências descrevem associações documentais; a avaliação institucional determinará importância, pesos, método e robustez segundo a força e a disponibilidade dos dados.</w:t>
      </w:r>
      <w:bookmarkEnd w:id="30"/>
      <w:bookmarkEnd w:id="31"/>
    </w:p>
    <w:p>
      <w:pPr>
        <w:pStyle w:val="Heading1"/>
        <w:rPr/>
      </w:pPr>
      <w:bookmarkStart w:id="32" w:name="sec%3Alimitacoes"/>
      <w:r>
        <w:rPr/>
        <w:t>Limitações</w:t>
      </w:r>
    </w:p>
    <w:p>
      <w:pPr>
        <w:pStyle w:val="FirstParagraph"/>
        <w:rPr/>
      </w:pPr>
      <w:r>
        <w:rPr>
          <w:b/>
          <w:bCs/>
        </w:rPr>
        <w:t>Cobertura e seleção.</w:t>
      </w:r>
      <w:r>
        <w:rPr/>
        <w:t xml:space="preserve"> A revisão cobre Scopus, Web of Science e Crossref entre 2010 e 2026, sendo o último ano parcial. O desenho priorizou metadados bibliográficos interoperáveis e deixou para estudos futuros pré-registro, rastreamento de citações e busca estruturada de literatura cinzenta. Triagem e codificação foram conduzidas por um avaliador, com decisões e regras preservadas para auditoria. A busca de sensibilidade manteve as mesmas fontes e apresentou disponibilidade desigual de resumos, sobretudo no Crossref; seu enriquecimento deliberado para IA e aprendizado de máquina mede ganho de cobertura temática, e não prevalência independente dessas técnicas.</w:t>
      </w:r>
    </w:p>
    <w:p>
      <w:pPr>
        <w:pStyle w:val="BodyText"/>
        <w:rPr/>
      </w:pPr>
      <w:r>
        <w:rPr>
          <w:b/>
          <w:bCs/>
        </w:rPr>
        <w:t>Extração e força de evidência.</w:t>
      </w:r>
      <w:r>
        <w:rPr/>
        <w:t xml:space="preserve"> O núcleo de 121 registros foi sintetizado predominantemente por título, resumo, palavras-chave e campos estruturados. As 37 leituras integrais, das quais 19 acrescentaram evidências específicas, qualificam mecanismos selecionados; sete pertencem ao lote de sensibilidade.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 A completude de autores, afiliações e referências citadas também delimitou as análises de colaboração e acoplamento.</w:t>
      </w:r>
    </w:p>
    <w:p>
      <w:pPr>
        <w:pStyle w:val="BodyText"/>
        <w:rPr/>
      </w:pPr>
      <w:r>
        <w:rPr>
          <w:b/>
          <w:bCs/>
        </w:rPr>
        <w:t>Especificação do protocolo.</w:t>
      </w:r>
      <w:r>
        <w:rPr/>
        <w:t xml:space="preserve"> A revisão fundamenta critérios e rastreabilidade; indicadores, unidades, fontes, periodicidades e direções são proposições do autor para validação. Normalização, pesos, agregação, limiares, vetos e sensibilidade serão definidos com participação institucional, dados reais e teste de robustez. O produto corresponde, portanto, a uma especificação reproduzível para parametrização futura, cuja autoridade decisória depende de validação de conteúdo e aplicação multicampi.</w:t>
      </w:r>
      <w:bookmarkEnd w:id="32"/>
    </w:p>
    <w:p>
      <w:pPr>
        <w:pStyle w:val="Heading1"/>
        <w:rPr/>
      </w:pPr>
      <w:bookmarkStart w:id="33"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a matriz de critérios e indicadores e o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o aprendizado de máquina de nove para 26 registros. Entre os 17 incorporados, dez concentram-se em previsão ou previsão com otimização, dois em diagnóstico e classificação e cinco em síntese ou integração tecnológica. Em conjunto, eles cobrem partes da cadeia entre modelo treinado, validação externa, ponderação,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Doze registros apresentaram lacunas específicas para instituições públicas de ensino superior, resultado detalhado na Seção </w:t>
      </w:r>
      <w:hyperlink w:anchor="sec%3Aaplicabilidade">
        <w:r>
          <w:rPr>
            <w:rStyle w:val="Hyperlink"/>
          </w:rPr>
          <w:t>8</w:t>
        </w:r>
      </w:hyperlink>
      <w:r>
        <w:rPr/>
        <w:t>. Os ODS apareceram em um registro, e os componentes ambientais, sociais e institucionais foram mais frequentes que o rótulo ESG (Masmoudi et al. 2026; Ramantswana et al. 2026).</w:t>
      </w:r>
    </w:p>
    <w:p>
      <w:pPr>
        <w:pStyle w:val="BodyText"/>
        <w:rPr/>
      </w:pPr>
      <w:r>
        <w:rPr/>
        <w:t>A contribuição central é uma especificação operacional candidata e rastreável. A revisão sustenta os critérios; indicadores, unidades, fontes, periodicidades e direções são proposições autorais para validação. A definição de pesos, agregação, limiares e vetos integra a etapa institucional seguinte. Quatro frentes organizam essa continuidade:</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da elicitação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Construção de protótipo:</w:t>
      </w:r>
      <w:r>
        <w:rPr/>
        <w:t xml:space="preserve"> método de elicitação, normalização, pesos, agregação, limiares, casos retrospectivos e análise de sensibilidade são parametrizados e testados.</w:t>
      </w:r>
    </w:p>
    <w:p>
      <w:pPr>
        <w:pStyle w:val="Normal"/>
        <w:numPr>
          <w:ilvl w:val="0"/>
          <w:numId w:val="1"/>
        </w:numPr>
        <w:rPr/>
      </w:pPr>
      <w:r>
        <w:rPr>
          <w:b/>
          <w:bCs/>
        </w:rPr>
        <w:t>Validação multicampi:</w:t>
      </w:r>
      <w:r>
        <w:rPr/>
        <w:t xml:space="preserve"> estabilidade, utilidade decisória e transferência são comparadas entre unidades e outros portfólios públicos.</w:t>
      </w:r>
    </w:p>
    <w:p>
      <w:pPr>
        <w:pStyle w:val="FirstParagraph"/>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34" w:name="refs"/>
      <w:bookmarkStart w:id="35"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5"/>
    </w:p>
    <w:p>
      <w:pPr>
        <w:pStyle w:val="Bibliography"/>
        <w:rPr/>
      </w:pPr>
      <w:bookmarkStart w:id="36"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6"/>
    </w:p>
    <w:p>
      <w:pPr>
        <w:pStyle w:val="Bibliography"/>
        <w:rPr/>
      </w:pPr>
      <w:bookmarkStart w:id="37"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7"/>
    </w:p>
    <w:p>
      <w:pPr>
        <w:pStyle w:val="Bibliography"/>
        <w:rPr/>
      </w:pPr>
      <w:bookmarkStart w:id="38"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8"/>
    </w:p>
    <w:p>
      <w:pPr>
        <w:pStyle w:val="Bibliography"/>
        <w:rPr/>
      </w:pPr>
      <w:bookmarkStart w:id="39"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9"/>
    </w:p>
    <w:p>
      <w:pPr>
        <w:pStyle w:val="Bibliography"/>
        <w:rPr/>
      </w:pPr>
      <w:bookmarkStart w:id="40" w:name="ref-abnt_nbr5674_2012"/>
      <w:r>
        <w:rPr/>
        <w:t>Associação Brasileira de Normas Técnicas. 2012. “NBR 5674: Manutenção de Edificações, Requisitos Para o Sistema de Gestão de Manutenção.” Rio de Janeiro: ABNT.</w:t>
      </w:r>
      <w:bookmarkEnd w:id="40"/>
    </w:p>
    <w:p>
      <w:pPr>
        <w:pStyle w:val="Bibliography"/>
        <w:rPr/>
      </w:pPr>
      <w:bookmarkStart w:id="41"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1"/>
    </w:p>
    <w:p>
      <w:pPr>
        <w:pStyle w:val="Bibliography"/>
        <w:rPr/>
      </w:pPr>
      <w:bookmarkStart w:id="42"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2"/>
    </w:p>
    <w:p>
      <w:pPr>
        <w:pStyle w:val="Bibliography"/>
        <w:rPr/>
      </w:pPr>
      <w:bookmarkStart w:id="43"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3"/>
    </w:p>
    <w:p>
      <w:pPr>
        <w:pStyle w:val="Bibliography"/>
        <w:rPr/>
      </w:pPr>
      <w:bookmarkStart w:id="44"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4"/>
    </w:p>
    <w:p>
      <w:pPr>
        <w:pStyle w:val="Bibliography"/>
        <w:rPr/>
      </w:pPr>
      <w:bookmarkStart w:id="45" w:name="ref-crossref_restapi_2026"/>
      <w:r>
        <w:rPr/>
        <w:t xml:space="preserve">Crossref. 2026. “REST API: Metadata Retrieval.” 2026. </w:t>
      </w:r>
      <w:hyperlink r:id="rId22">
        <w:r>
          <w:rPr>
            <w:rStyle w:val="Hyperlink"/>
          </w:rPr>
          <w:t>https://www.crossref.org/documentation/retrieve-metadata/rest-api/</w:t>
        </w:r>
      </w:hyperlink>
      <w:r>
        <w:rPr/>
        <w:t>.</w:t>
      </w:r>
      <w:bookmarkEnd w:id="45"/>
    </w:p>
    <w:p>
      <w:pPr>
        <w:pStyle w:val="Bibliography"/>
        <w:rPr/>
      </w:pPr>
      <w:bookmarkStart w:id="46"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6"/>
    </w:p>
    <w:p>
      <w:pPr>
        <w:pStyle w:val="Bibliography"/>
        <w:rPr/>
      </w:pPr>
      <w:bookmarkStart w:id="47"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7"/>
    </w:p>
    <w:p>
      <w:pPr>
        <w:pStyle w:val="Bibliography"/>
        <w:rPr/>
      </w:pPr>
      <w:bookmarkStart w:id="48"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8"/>
    </w:p>
    <w:p>
      <w:pPr>
        <w:pStyle w:val="Bibliography"/>
        <w:rPr/>
      </w:pPr>
      <w:bookmarkStart w:id="49"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9"/>
    </w:p>
    <w:p>
      <w:pPr>
        <w:pStyle w:val="Bibliography"/>
        <w:rPr/>
      </w:pPr>
      <w:bookmarkStart w:id="50"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50"/>
    </w:p>
    <w:p>
      <w:pPr>
        <w:pStyle w:val="Bibliography"/>
        <w:rPr/>
      </w:pPr>
      <w:bookmarkStart w:id="51"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1"/>
    </w:p>
    <w:p>
      <w:pPr>
        <w:pStyle w:val="Bibliography"/>
        <w:rPr/>
      </w:pPr>
      <w:bookmarkStart w:id="52"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2"/>
    </w:p>
    <w:p>
      <w:pPr>
        <w:pStyle w:val="Bibliography"/>
        <w:rPr/>
      </w:pPr>
      <w:bookmarkStart w:id="53"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3"/>
    </w:p>
    <w:p>
      <w:pPr>
        <w:pStyle w:val="Bibliography"/>
        <w:rPr/>
      </w:pPr>
      <w:bookmarkStart w:id="54"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4"/>
    </w:p>
    <w:p>
      <w:pPr>
        <w:pStyle w:val="Bibliography"/>
        <w:rPr/>
      </w:pPr>
      <w:bookmarkStart w:id="55"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5"/>
    </w:p>
    <w:p>
      <w:pPr>
        <w:pStyle w:val="Bibliography"/>
        <w:rPr/>
      </w:pPr>
      <w:bookmarkStart w:id="56"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6"/>
    </w:p>
    <w:p>
      <w:pPr>
        <w:pStyle w:val="Bibliography"/>
        <w:rPr/>
      </w:pPr>
      <w:bookmarkStart w:id="57"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7"/>
    </w:p>
    <w:p>
      <w:pPr>
        <w:pStyle w:val="Bibliography"/>
        <w:rPr/>
      </w:pPr>
      <w:bookmarkStart w:id="58"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8"/>
    </w:p>
    <w:p>
      <w:pPr>
        <w:pStyle w:val="Bibliography"/>
        <w:rPr/>
      </w:pPr>
      <w:bookmarkStart w:id="59"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9"/>
    </w:p>
    <w:p>
      <w:pPr>
        <w:pStyle w:val="Bibliography"/>
        <w:rPr/>
      </w:pPr>
      <w:bookmarkStart w:id="60"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60"/>
    </w:p>
    <w:p>
      <w:pPr>
        <w:pStyle w:val="Bibliography"/>
        <w:rPr/>
      </w:pPr>
      <w:bookmarkStart w:id="61"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1"/>
    </w:p>
    <w:p>
      <w:pPr>
        <w:pStyle w:val="Bibliography"/>
        <w:rPr/>
      </w:pPr>
      <w:bookmarkStart w:id="62"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2"/>
    </w:p>
    <w:p>
      <w:pPr>
        <w:pStyle w:val="Bibliography"/>
        <w:rPr/>
      </w:pPr>
      <w:bookmarkStart w:id="63"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3"/>
    </w:p>
    <w:p>
      <w:pPr>
        <w:pStyle w:val="Bibliography"/>
        <w:rPr/>
      </w:pPr>
      <w:bookmarkStart w:id="64"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4"/>
    </w:p>
    <w:p>
      <w:pPr>
        <w:pStyle w:val="Bibliography"/>
        <w:rPr/>
      </w:pPr>
      <w:bookmarkStart w:id="65"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5"/>
    </w:p>
    <w:p>
      <w:pPr>
        <w:pStyle w:val="Bibliography"/>
        <w:rPr/>
      </w:pPr>
      <w:bookmarkStart w:id="66"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6"/>
    </w:p>
    <w:p>
      <w:pPr>
        <w:pStyle w:val="Bibliography"/>
        <w:rPr/>
      </w:pPr>
      <w:bookmarkStart w:id="67"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7"/>
    </w:p>
    <w:p>
      <w:pPr>
        <w:pStyle w:val="Bibliography"/>
        <w:rPr/>
      </w:pPr>
      <w:bookmarkStart w:id="68"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8"/>
    </w:p>
    <w:p>
      <w:pPr>
        <w:pStyle w:val="Bibliography"/>
        <w:rPr/>
      </w:pPr>
      <w:bookmarkStart w:id="69"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9"/>
    </w:p>
    <w:p>
      <w:pPr>
        <w:pStyle w:val="Bibliography"/>
        <w:rPr/>
      </w:pPr>
      <w:bookmarkStart w:id="70"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70"/>
    </w:p>
    <w:p>
      <w:pPr>
        <w:pStyle w:val="Bibliography"/>
        <w:rPr/>
      </w:pPr>
      <w:bookmarkStart w:id="71"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1"/>
    </w:p>
    <w:p>
      <w:pPr>
        <w:pStyle w:val="Bibliography"/>
        <w:rPr/>
      </w:pPr>
      <w:bookmarkStart w:id="72"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2"/>
    </w:p>
    <w:p>
      <w:pPr>
        <w:pStyle w:val="Bibliography"/>
        <w:rPr/>
      </w:pPr>
      <w:bookmarkStart w:id="73"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3"/>
    </w:p>
    <w:p>
      <w:pPr>
        <w:pStyle w:val="Bibliography"/>
        <w:rPr/>
      </w:pPr>
      <w:bookmarkStart w:id="74"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4"/>
    </w:p>
    <w:p>
      <w:pPr>
        <w:pStyle w:val="Bibliography"/>
        <w:rPr/>
      </w:pPr>
      <w:bookmarkStart w:id="75"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5"/>
    </w:p>
    <w:p>
      <w:pPr>
        <w:pStyle w:val="Bibliography"/>
        <w:rPr/>
      </w:pPr>
      <w:bookmarkStart w:id="76"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6"/>
    </w:p>
    <w:p>
      <w:pPr>
        <w:pStyle w:val="Bibliography"/>
        <w:spacing w:before="0" w:after="200"/>
        <w:rPr/>
      </w:pPr>
      <w:bookmarkStart w:id="77"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3"/>
      <w:bookmarkEnd w:id="34"/>
      <w:bookmarkEnd w:id="7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2026-07-14T15:07:16Z</dcterms:created>
  <dc:creator>Adinailson Guimarães de Oliveira Programa de Pós-Graduação em Biossistemas Universidade Federal do Sul da Bahia (UFSB)</dc:creator>
  <dc:description/>
  <dc:language>en-US</dc:language>
  <cp:lastModifiedBy/>
  <dcterms:modified xsi:type="dcterms:W3CDTF">2026-07-14T15:07:16Z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