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O artigo investiga como evidências bibliométricas e temáticas sobre manutenção predial sustentável podem fundamentar um protocolo multicritério adaptável às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Predominaram as dimensões técnica-operacional (116 registros), institucional (97) e ambiental (92), e os critérios desempenho operacional (99), informação e dados (82), custo (63), energia e vida útil (44 cada). Aprendizado de máquina passou de nove para 26 registros após a sensibilidade. Entre os 17 incorporados, dez tratam predominantemente de previsão ou previsão com otimização, dois de diagnóstico e classificação e cinco de síntese ou integração tecnológica. Nenhum demonstrou a cadeia completa entre modelo treinado, validação externa, ponderação multicritério, regras de veto e decisão pública auditável. Como contribuição, a síntese foi convertida em matriz analítica conceitual e protocolo operacional candidato, com indicadores, fontes, periodicidade, direção de preferência e vetos. Frequências documentais não foram transformadas em pesos; ponderação, limiares e agregação dependem de validação institucional e teste multicampi.</w:t>
      </w:r>
    </w:p>
    <w:p>
      <w:pPr>
        <w:pStyle w:val="BodyText"/>
      </w:pPr>
      <w:r>
        <w:rPr>
          <w:bCs/>
          <w:b/>
        </w:rPr>
        <w:t xml:space="preserve">Palavras-chave:</w:t>
      </w:r>
      <w:r>
        <w:t xml:space="preserve"> </w:t>
      </w:r>
      <w:r>
        <w:t xml:space="preserve">manutenção predial; sustentabilidade; decisão multicritério; edificações públicas universitárias; aprendizado de máquina.</w:t>
      </w:r>
    </w:p>
    <w:p>
      <w:pPr>
        <w:pStyle w:val="BodyText"/>
      </w:pPr>
      <w:r>
        <w:rPr>
          <w:bCs/>
          <w:b/>
        </w:rPr>
        <w:t xml:space="preserve">Abstract</w:t>
      </w:r>
    </w:p>
    <w:p>
      <w:pPr>
        <w:pStyle w:val="BodyText"/>
      </w:pPr>
      <w:r>
        <w:t xml:space="preserve">This article investigates how bibliometric and thematic evidence on sustainable building maintenance can support a multi-criteria protocol adaptable to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The technical-operational (116 records), institutional (97), and environmental (92) dimensions predominated, as did operational performance (99), information and data (82), cost (63), energy, and service life (44 each). Machine learning increased from nine to 26 records after the sensitivity search. Among the 17 incorporated records, ten predominantly address prediction or prediction with optimization, two address diagnosis and classification, and five address technological synthesis or integration. None demonstrated the complete chain linking a trained model, external validation, multi-criteria weighting, veto rules, and auditable public decision-making. The synthesis was translated into a conceptual analytical matrix and a candidate operational protocol specifying indicators, data sources, periodicity, preference direction, and vetoes. Documentary frequencies were not converted into weights; weighting, thresholds, and aggregation require institutional validation and multi-campus testing.</w:t>
      </w:r>
    </w:p>
    <w:p>
      <w:pPr>
        <w:pStyle w:val="BodyText"/>
      </w:pPr>
      <w:r>
        <w:rPr>
          <w:bCs/>
          <w:b/>
        </w:rPr>
        <w:t xml:space="preserve">Keywords:</w:t>
      </w:r>
      <w:r>
        <w:t xml:space="preserve"> </w:t>
      </w:r>
      <w:r>
        <w:t xml:space="preserve">building maintenance; sustainability; multi-criteria decision-making; public university buildings; machine learning.</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como indicam estudos de caso em instituições universitárias</w:t>
      </w:r>
      <w:r>
        <w:t xml:space="preserve"> </w:t>
      </w:r>
      <w:r>
        <w:t xml:space="preserve">(Lateef, Khamidi, and Idrus 2010; Barbosa et al. 2020)</w:t>
      </w:r>
      <w:r>
        <w:t xml:space="preserve">.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Para sustentar a prioridade, séries de custos e ordens de serviço precisam ser combinadas a condição física, risco, energia, impacto ambiental, experiência dos usuários, conformidade e capacidade institucional</w:t>
      </w:r>
      <w:r>
        <w:t xml:space="preserve"> </w:t>
      </w:r>
      <w:r>
        <w:t xml:space="preserve">(Maia, Scheer, and Freitas 2016; Nägeli et al. 2019; Alfalah et al. 2022)</w:t>
      </w:r>
      <w:r>
        <w:t xml:space="preserve">.</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r>
        <w:t xml:space="preserve"> </w:t>
      </w:r>
      <w:r>
        <w:t xml:space="preserve">(Alfalah et al. 2022; Naji, Gunduz, and Maki 2023; Masmoudi et al. 2026)</w:t>
      </w:r>
      <w:r>
        <w:t xml:space="preserve">.</w:t>
      </w:r>
    </w:p>
    <w:p>
      <w:pPr>
        <w:pStyle w:val="BodyText"/>
      </w:pPr>
      <w:r>
        <w:t xml:space="preserve">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w:t>
      </w:r>
      <w:r>
        <w:t xml:space="preserve"> </w:t>
      </w:r>
      <w:r>
        <w:t xml:space="preserve">(Deng, Menassa, and Kamat 2021; Das 2025; Alfalah et al. 2022; Masmoudi et al. 2026)</w:t>
      </w:r>
      <w:r>
        <w:t xml:space="preserve">. A lacuna abordada neste artigo é a conexão rastreável entre evidência científica, variável observável e regra pública de decisão, sem confundir frequência bibliográfica com importância normativa.</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w:t>
      </w:r>
    </w:p>
    <w:p>
      <w:pPr>
        <w:pStyle w:val="BodyText"/>
      </w:pPr>
      <w:r>
        <w:t xml:space="preserve">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não redefine retrospectivamente a busca principal; ela testa uma possível insuficiência de cobertura temática identificada após a síntese inicial.</w:t>
      </w:r>
    </w:p>
    <w:p>
      <w:pPr>
        <w:pStyle w:val="BodyText"/>
      </w:pPr>
      <w:r>
        <w:t xml:space="preserve">A contribuição pretendida é tripla: separar o mapeamento estrutural do campo da síntese temática; testar a cobertura de métodos informacionais por uma busca de sensibilidade explicitamente delimitada; e traduzir os achados em especificação operacional cuja validade permaneça condicionada à participação institucional e ao teste empírico.</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abrangendo ciclo de vida, gestão sustentável de facilidades, efeitos sobre usuários, integração digital e apoio multicritério</w:t>
      </w:r>
      <w:r>
        <w:t xml:space="preserve"> </w:t>
      </w:r>
      <w:r>
        <w:t xml:space="preserve">(Nägeli et al. 2019; Nielsen, Sarasoja, and Galamba 2016; Alfalah et al. 2022; Deng, Menassa, and Kamat 2021; Masmoudi et al. 2026)</w:t>
      </w:r>
      <w:r>
        <w:t xml:space="preserve">. Essa organização não substitui a classificação empírica do corpus; ela explicita os fundamentos usados para converter a síntese em arquitetura decisória. A Tabela </w:t>
      </w:r>
      <w:hyperlink w:anchor="tab:correntesteoricas">
        <w:r>
          <w:rPr>
            <w:rStyle w:val="Hyperlink"/>
          </w:rPr>
          <w:t xml:space="preserve">1</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IA e manutenção preditiva.</w:t>
            </w:r>
          </w:p>
        </w:tc>
        <w:tc>
          <w:tcPr>
            <w:tcW w:type="dxa" w:w="2340"/>
          </w:tcPr>
          <w:p>
            <w:r>
              <w:rPr>
                <w:sz w:val="18"/>
              </w:rPr>
              <w:t>Rastreabilidade, integração de dados, diagnóstico e atualização progressiva dos indicadores.</w:t>
            </w:r>
          </w:p>
        </w:tc>
        <w:tc>
          <w:tcPr>
            <w:tcW w:type="dxa" w:w="2340"/>
          </w:tcPr>
          <w:p>
            <w:r>
              <w:rPr>
                <w:sz w:val="18"/>
              </w:rPr>
              <w:t>Validação externa, interoperabilidade e governança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w:t>
      </w:r>
      <w:r>
        <w:t xml:space="preserve"> </w:t>
      </w:r>
      <w:r>
        <w:t xml:space="preserve">(Othman and Kamal 2023; Chew and Conejos 2016; Conejos, Chew, and Azril 2019)</w:t>
      </w:r>
      <w:r>
        <w:t xml:space="preserve">.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No protocolo proposto, o ciclo de vida opera como eixo transversal para integrar custos, riscos e impactos futuros sem converter a mesma consequência temporal em critérios redundantes, opção analítica apoiada pela abordagem conjunta de manutenção, renovação e energia</w:t>
      </w:r>
      <w:r>
        <w:t xml:space="preserve"> </w:t>
      </w:r>
      <w:r>
        <w:t xml:space="preserve">(Nägeli et al. 2019)</w:t>
      </w:r>
      <w:r>
        <w:t xml:space="preserve">.</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inteligência artificial e manutenção preditiva. Essas tecnologias podem conectar cadastro, condição, operação e histórico de intervenções, mas cumprem funções distintas: plataformas organizam e sincronizam dados; modelos treinados estimam demanda, vida útil ou anomalias; e a decisão institucional ainda precisa estabelecer critérios, preferências e restrições.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 Estudos integrais do lote de sensibilidade reforçam a necessidade de validação contextual e governança dos dados</w:t>
      </w:r>
      <w:r>
        <w:t xml:space="preserve"> </w:t>
      </w:r>
      <w:r>
        <w:t xml:space="preserve">(Motuzienė et al. 2025; Wu and Mundt-Petersen 2025; Das 2025)</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w:t>
      </w:r>
      <w:r>
        <w:t xml:space="preserve"> </w:t>
      </w:r>
      <w:r>
        <w:rPr>
          <w:iCs/>
          <w:i/>
        </w:rPr>
        <w:t xml:space="preserve">campus</w:t>
      </w:r>
      <w:r>
        <w:t xml:space="preserve"> </w:t>
      </w:r>
      <w:r>
        <w:t xml:space="preserve">e de manutenção pública</w:t>
      </w:r>
      <w:r>
        <w:t xml:space="preserve"> </w:t>
      </w:r>
      <w:r>
        <w:t xml:space="preserve">(Alfalah et al. 2022; Naji, Gunduz, and Maki 2023; Masmoudi et al. 2026)</w:t>
      </w:r>
      <w:r>
        <w:t xml:space="preserve">. Ainda assim, a seleção do método deve considerar o problema decisório, a qualidade dos dados, a compensabilidade dos critérios e a capacidade dos usuários, e não apenas sua frequência bibliográfica</w:t>
      </w:r>
      <w:r>
        <w:t xml:space="preserve"> </w:t>
      </w:r>
      <w:r>
        <w:t xml:space="preserve">(Alfalah et al. 2022; Naji, Gunduz, and Maki 2023; Masmoudi et al. 2026)</w:t>
      </w:r>
      <w:r>
        <w:t xml:space="preserve">.</w:t>
      </w:r>
    </w:p>
    <w:bookmarkEnd w:id="21"/>
    <w:bookmarkStart w:id="26"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p>
    <w:p>
      <w:pPr>
        <w:pStyle w:val="BodyText"/>
      </w:pP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w:t>
      </w:r>
      <w:r>
        <w:t xml:space="preserve">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Os registros recuperados por essa busca direcionada não foram acrescentados à camada bibliométrica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 aplicações dessas famílias metodológicas no domínio predial são apresentadas por</w:t>
      </w:r>
      <w:r>
        <w:t xml:space="preserve"> </w:t>
      </w:r>
      <w:r>
        <w:t xml:space="preserve">Alfalah et al. (2022; Naji, Gunduz, and Maki 2023; Masmoudi et al. 2026)</w:t>
      </w:r>
      <w:r>
        <w:t xml:space="preserve">.</w:t>
      </w:r>
    </w:p>
    <w:p>
      <w:pPr>
        <w:pStyle w:val="BodyText"/>
      </w:pPr>
      <w:r>
        <w:t xml:space="preserve">A matriz de alinhamento da Tabela </w:t>
      </w:r>
      <w:hyperlink w:anchor="tab:alinhamentorq">
        <w:r>
          <w:rPr>
            <w:rStyle w:val="Hyperlink"/>
          </w:rPr>
          <w:t xml:space="preserve">2</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8.</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9.</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r>
        <w:tc>
          <w:tcPr>
            <w:tcW w:type="dxa" w:w="1872"/>
          </w:tcPr>
          <w:p>
            <w:r>
              <w:rPr>
                <w:sz w:val="18"/>
              </w:rPr>
              <w:t>RQ6</w:t>
            </w:r>
          </w:p>
        </w:tc>
        <w:tc>
          <w:tcPr>
            <w:tcW w:type="dxa" w:w="1872"/>
          </w:tcPr>
          <w:p>
            <w:r>
              <w:rPr>
                <w:sz w:val="18"/>
              </w:rPr>
              <w:t>Efeito da busca de sensibilidade sobre a identificação de IA e aprendizado de máquina.</w:t>
            </w:r>
          </w:p>
        </w:tc>
        <w:tc>
          <w:tcPr>
            <w:tcW w:type="dxa" w:w="1872"/>
          </w:tcPr>
          <w:p>
            <w:r>
              <w:rPr>
                <w:sz w:val="18"/>
              </w:rPr>
              <w:t>Técnica computacional confirmada, objeto predial e sustentabilidade; termos ambíguos exigem contexto adicional.</w:t>
            </w:r>
          </w:p>
        </w:tc>
        <w:tc>
          <w:tcPr>
            <w:tcW w:type="dxa" w:w="1872"/>
          </w:tcPr>
          <w:p>
            <w:r>
              <w:rPr>
                <w:sz w:val="18"/>
              </w:rPr>
              <w:t>Classe de evidência RQ6; técnica identificada; contexto; decisão de incorporação.</w:t>
            </w:r>
          </w:p>
        </w:tc>
        <w:tc>
          <w:tcPr>
            <w:tcW w:type="dxa" w:w="1872"/>
          </w:tcPr>
          <w:p>
            <w:r>
              <w:rPr>
                <w:sz w:val="18"/>
              </w:rPr>
              <w:t>Seções 3.4, 7, 10 e 12.</w:t>
            </w:r>
          </w:p>
        </w:tc>
      </w:tr>
    </w:tbl>
    <w:p/>
    <w:p>
      <w:pPr>
        <w:pStyle w:val="BodyText"/>
      </w:pPr>
      <w:r>
        <w:t xml:space="preserve">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w:t>
      </w:r>
    </w:p>
    <w:p>
      <w:pPr>
        <w:pStyle w:val="BodyText"/>
      </w:pPr>
      <w:r>
        <w:t xml:space="preserve">A busca complementar de sensibilidade foi executada em 12 de julho de 2026 nas mesmas três fontes, sem filtros adicionais além do período de publicação. A Scopus recuperou 3.169 registros por uma expressão em</w:t>
      </w:r>
      <w:r>
        <w:t xml:space="preserve"> </w:t>
      </w:r>
      <w:r>
        <w:rPr>
          <w:rStyle w:val="VerbatimChar"/>
        </w:rPr>
        <w:t xml:space="preserve">TITLE-ABS-KEY</w:t>
      </w:r>
      <w:r>
        <w:t xml:space="preserve">. Na plataforma Web of Science, a consulta foi executada na opção All Databases, no campo</w:t>
      </w:r>
      <w:r>
        <w:t xml:space="preserve"> </w:t>
      </w:r>
      <w:r>
        <w:rPr>
          <w:rStyle w:val="VerbatimChar"/>
        </w:rPr>
        <w:t xml:space="preserve">Topic (TS)</w:t>
      </w:r>
      <w:r>
        <w:t xml:space="preserve">, e recuperou 1.559 registros exportados em duas partes não sobrepostas; esses registros apresentam indexação na Web of Science Core Collection. No Crossref, dez consultas por</w:t>
      </w:r>
      <w:r>
        <w:t xml:space="preserve"> </w:t>
      </w:r>
      <w:r>
        <w:rPr>
          <w:rStyle w:val="VerbatimChar"/>
        </w:rPr>
        <w:t xml:space="preserve">query.bibliographic</w:t>
      </w:r>
      <w:r>
        <w:t xml:space="preserve">,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pPr>
      <w:r>
        <w:t xml:space="preserve">A Tabela </w:t>
      </w:r>
      <w:hyperlink w:anchor="tab:estrategiabusca">
        <w:r>
          <w:rPr>
            <w:rStyle w:val="Hyperlink"/>
          </w:rPr>
          <w:t xml:space="preserve">3</w:t>
        </w:r>
      </w:hyperlink>
      <w:r>
        <w:t xml:space="preserve"> </w:t>
      </w:r>
      <w:r>
        <w:t xml:space="preserve">consolida as duas rodadas. O arquivo</w:t>
      </w:r>
      <w:r>
        <w:t xml:space="preserve"> </w:t>
      </w:r>
      <w:r>
        <w:rPr>
          <w:rStyle w:val="VerbatimChar"/>
        </w:rPr>
        <w:t xml:space="preserve">latex-artigo/fontes/tabela_estrategia_busca.csv</w:t>
      </w:r>
      <w:r>
        <w:t xml:space="preserve"> </w:t>
      </w:r>
      <w:r>
        <w:t xml:space="preserve">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Rodada</w:t>
            </w:r>
          </w:p>
        </w:tc>
        <w:tc>
          <w:tcPr>
            <w:tcW w:type="dxa" w:w="1560"/>
          </w:tcPr>
          <w:p>
            <w:r>
              <w:rPr>
                <w:b/>
                <w:sz w:val="18"/>
              </w:rPr>
              <w:t>Base</w:t>
            </w:r>
          </w:p>
        </w:tc>
        <w:tc>
          <w:tcPr>
            <w:tcW w:type="dxa" w:w="1560"/>
          </w:tcPr>
          <w:p>
            <w:r>
              <w:rPr>
                <w:b/>
                <w:sz w:val="18"/>
              </w:rPr>
              <w:t>Data</w:t>
            </w:r>
          </w:p>
        </w:tc>
        <w:tc>
          <w:tcPr>
            <w:tcW w:type="dxa" w:w="1560"/>
          </w:tcPr>
          <w:p>
            <w:r>
              <w:rPr>
                <w:b/>
                <w:sz w:val="18"/>
              </w:rPr>
              <w:t>Campo e consultas</w:t>
            </w:r>
          </w:p>
        </w:tc>
        <w:tc>
          <w:tcPr>
            <w:tcW w:type="dxa" w:w="1560"/>
          </w:tcPr>
          <w:p>
            <w:r>
              <w:rPr>
                <w:b/>
                <w:sz w:val="18"/>
              </w:rPr>
              <w:t>Registros</w:t>
            </w:r>
          </w:p>
        </w:tc>
        <w:tc>
          <w:tcPr>
            <w:tcW w:type="dxa" w:w="1560"/>
          </w:tcPr>
          <w:p>
            <w:r>
              <w:rPr>
                <w:b/>
                <w:sz w:val="18"/>
              </w:rPr>
              <w:t>Documentação</w:t>
            </w:r>
          </w:p>
        </w:tc>
      </w:tr>
      <w:tr>
        <w:tc>
          <w:tcPr>
            <w:tcW w:type="dxa" w:w="1560"/>
          </w:tcPr>
          <w:p>
            <w:r>
              <w:rPr>
                <w:sz w:val="18"/>
              </w:rPr>
              <w:t>Principal</w:t>
            </w:r>
          </w:p>
        </w:tc>
        <w:tc>
          <w:tcPr>
            <w:tcW w:type="dxa" w:w="1560"/>
          </w:tcPr>
          <w:p>
            <w:r>
              <w:rPr>
                <w:sz w:val="18"/>
              </w:rPr>
              <w:t>Scopus</w:t>
            </w:r>
          </w:p>
        </w:tc>
        <w:tc>
          <w:tcPr>
            <w:tcW w:type="dxa" w:w="1560"/>
          </w:tcPr>
          <w:p>
            <w:r>
              <w:rPr>
                <w:sz w:val="18"/>
              </w:rPr>
              <w:t>08–09/07/2026</w:t>
            </w:r>
          </w:p>
        </w:tc>
        <w:tc>
          <w:tcPr>
            <w:tcW w:type="dxa" w:w="1560"/>
          </w:tcPr>
          <w:p>
            <w:r>
              <w:rPr>
                <w:sz w:val="18"/>
              </w:rPr>
              <w:t>4 em TITLE-ABS-KEY; enriquecimento por EID</w:t>
            </w:r>
          </w:p>
        </w:tc>
        <w:tc>
          <w:tcPr>
            <w:tcW w:type="dxa" w:w="1560"/>
          </w:tcPr>
          <w:p>
            <w:r>
              <w:rPr>
                <w:sz w:val="18"/>
              </w:rPr>
              <w:t>9.438</w:t>
            </w:r>
          </w:p>
        </w:tc>
        <w:tc>
          <w:tcPr>
            <w:tcW w:type="dxa" w:w="1560"/>
          </w:tcPr>
          <w:p>
            <w:r>
              <w:rPr>
                <w:sz w:val="18"/>
              </w:rPr>
              <w:t>Strings preservadas; 9.433 da API e cinco do export manual.</w:t>
            </w:r>
          </w:p>
        </w:tc>
      </w:tr>
      <w:tr>
        <w:tc>
          <w:tcPr>
            <w:tcW w:type="dxa" w:w="1560"/>
          </w:tcPr>
          <w:p>
            <w:r>
              <w:rPr>
                <w:sz w:val="18"/>
              </w:rPr>
              <w:t>Principal</w:t>
            </w:r>
          </w:p>
        </w:tc>
        <w:tc>
          <w:tcPr>
            <w:tcW w:type="dxa" w:w="1560"/>
          </w:tcPr>
          <w:p>
            <w:r>
              <w:rPr>
                <w:sz w:val="18"/>
              </w:rPr>
              <w:t>Web of Science</w:t>
            </w:r>
          </w:p>
        </w:tc>
        <w:tc>
          <w:tcPr>
            <w:tcW w:type="dxa" w:w="1560"/>
          </w:tcPr>
          <w:p>
            <w:r>
              <w:rPr>
                <w:sz w:val="18"/>
              </w:rPr>
              <w:t>08/07/2026</w:t>
            </w:r>
          </w:p>
        </w:tc>
        <w:tc>
          <w:tcPr>
            <w:tcW w:type="dxa" w:w="1560"/>
          </w:tcPr>
          <w:p>
            <w:r>
              <w:rPr>
                <w:sz w:val="18"/>
              </w:rPr>
              <w:t>4 em TS (Topic)</w:t>
            </w:r>
          </w:p>
        </w:tc>
        <w:tc>
          <w:tcPr>
            <w:tcW w:type="dxa" w:w="1560"/>
          </w:tcPr>
          <w:p>
            <w:r>
              <w:rPr>
                <w:sz w:val="18"/>
              </w:rPr>
              <w:t>1.680</w:t>
            </w:r>
          </w:p>
        </w:tc>
        <w:tc>
          <w:tcPr>
            <w:tcW w:type="dxa" w:w="1560"/>
          </w:tcPr>
          <w:p>
            <w:r>
              <w:rPr>
                <w:sz w:val="18"/>
              </w:rPr>
              <w:t>Strings preservadas; quarta exportação recontada em 503.</w:t>
            </w:r>
          </w:p>
        </w:tc>
      </w:tr>
      <w:tr>
        <w:tc>
          <w:tcPr>
            <w:tcW w:type="dxa" w:w="1560"/>
          </w:tcPr>
          <w:p>
            <w:r>
              <w:rPr>
                <w:sz w:val="18"/>
              </w:rPr>
              <w:t>Principal</w:t>
            </w:r>
          </w:p>
        </w:tc>
        <w:tc>
          <w:tcPr>
            <w:tcW w:type="dxa" w:w="1560"/>
          </w:tcPr>
          <w:p>
            <w:r>
              <w:rPr>
                <w:sz w:val="18"/>
              </w:rPr>
              <w:t>Crossref</w:t>
            </w:r>
          </w:p>
        </w:tc>
        <w:tc>
          <w:tcPr>
            <w:tcW w:type="dxa" w:w="1560"/>
          </w:tcPr>
          <w:p>
            <w:r>
              <w:rPr>
                <w:sz w:val="18"/>
              </w:rPr>
              <w:t>08/07/2026</w:t>
            </w:r>
          </w:p>
        </w:tc>
        <w:tc>
          <w:tcPr>
            <w:tcW w:type="dxa" w:w="1560"/>
          </w:tcPr>
          <w:p>
            <w:r>
              <w:rPr>
                <w:sz w:val="18"/>
              </w:rPr>
              <w:t>5 em query.bibliographic</w:t>
            </w:r>
          </w:p>
        </w:tc>
        <w:tc>
          <w:tcPr>
            <w:tcW w:type="dxa" w:w="1560"/>
          </w:tcPr>
          <w:p>
            <w:r>
              <w:rPr>
                <w:sz w:val="18"/>
              </w:rPr>
              <w:t>1.000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12.118</w:t>
            </w:r>
          </w:p>
        </w:tc>
        <w:tc>
          <w:tcPr>
            <w:tcW w:type="dxa" w:w="1560"/>
          </w:tcPr>
          <w:p>
            <w:r>
              <w:rPr>
                <w:sz w:val="18"/>
              </w:rPr>
              <w:t>13 consultas, antes da deduplicação.</w:t>
            </w:r>
          </w:p>
        </w:tc>
        <w:tc>
          <w:tcPr>
            <w:tcW w:type="dxa" w:w="1560"/>
          </w:tcPr>
          <w:p>
            <w:r>
              <w:rPr>
                <w:sz w:val="18"/>
              </w:rPr>
            </w:r>
          </w:p>
        </w:tc>
        <w:tc>
          <w:tcPr>
            <w:tcW w:type="dxa" w:w="1560"/>
          </w:tcPr>
          <w:p>
            <w:r>
              <w:rPr>
                <w:sz w:val="18"/>
              </w:rPr>
            </w:r>
          </w:p>
        </w:tc>
        <w:tc>
          <w:tcPr>
            <w:tcW w:type="dxa" w:w="1560"/>
          </w:tcPr>
          <w:p>
            <w:r>
              <w:rPr>
                <w:sz w:val="18"/>
              </w:rPr>
            </w:r>
          </w:p>
        </w:tc>
      </w:tr>
      <w:tr>
        <w:tc>
          <w:tcPr>
            <w:tcW w:type="dxa" w:w="1560"/>
          </w:tcPr>
          <w:p>
            <w:r>
              <w:rPr>
                <w:sz w:val="18"/>
              </w:rPr>
              <w:t>Sensibilidade IA/ML</w:t>
            </w:r>
          </w:p>
        </w:tc>
        <w:tc>
          <w:tcPr>
            <w:tcW w:type="dxa" w:w="1560"/>
          </w:tcPr>
          <w:p>
            <w:r>
              <w:rPr>
                <w:sz w:val="18"/>
              </w:rPr>
              <w:t>Scopus</w:t>
            </w:r>
          </w:p>
        </w:tc>
        <w:tc>
          <w:tcPr>
            <w:tcW w:type="dxa" w:w="1560"/>
          </w:tcPr>
          <w:p>
            <w:r>
              <w:rPr>
                <w:sz w:val="18"/>
              </w:rPr>
              <w:t>12/07/2026</w:t>
            </w:r>
          </w:p>
        </w:tc>
        <w:tc>
          <w:tcPr>
            <w:tcW w:type="dxa" w:w="1560"/>
          </w:tcPr>
          <w:p>
            <w:r>
              <w:rPr>
                <w:sz w:val="18"/>
              </w:rPr>
              <w:t>1 em TITLE-ABS-KEY</w:t>
            </w:r>
          </w:p>
        </w:tc>
        <w:tc>
          <w:tcPr>
            <w:tcW w:type="dxa" w:w="1560"/>
          </w:tcPr>
          <w:p>
            <w:r>
              <w:rPr>
                <w:sz w:val="18"/>
              </w:rPr>
              <w:t>3.169</w:t>
            </w:r>
          </w:p>
        </w:tc>
        <w:tc>
          <w:tcPr>
            <w:tcW w:type="dxa" w:w="1560"/>
          </w:tcPr>
          <w:p>
            <w:r>
              <w:rPr>
                <w:sz w:val="18"/>
              </w:rPr>
              <w:t>String integral documentada; sem filtros adicionais além do período.</w:t>
            </w:r>
          </w:p>
        </w:tc>
      </w:tr>
      <w:tr>
        <w:tc>
          <w:tcPr>
            <w:tcW w:type="dxa" w:w="1560"/>
          </w:tcPr>
          <w:p>
            <w:r>
              <w:rPr>
                <w:sz w:val="18"/>
              </w:rPr>
              <w:t>Sensibilidade IA/ML</w:t>
            </w:r>
          </w:p>
        </w:tc>
        <w:tc>
          <w:tcPr>
            <w:tcW w:type="dxa" w:w="1560"/>
          </w:tcPr>
          <w:p>
            <w:r>
              <w:rPr>
                <w:sz w:val="18"/>
              </w:rPr>
              <w:t>Web of Science – All Databases</w:t>
            </w:r>
          </w:p>
        </w:tc>
        <w:tc>
          <w:tcPr>
            <w:tcW w:type="dxa" w:w="1560"/>
          </w:tcPr>
          <w:p>
            <w:r>
              <w:rPr>
                <w:sz w:val="18"/>
              </w:rPr>
              <w:t>12/07/2026</w:t>
            </w:r>
          </w:p>
        </w:tc>
        <w:tc>
          <w:tcPr>
            <w:tcW w:type="dxa" w:w="1560"/>
          </w:tcPr>
          <w:p>
            <w:r>
              <w:rPr>
                <w:sz w:val="18"/>
              </w:rPr>
              <w:t>1 em Topic (TS), exportada em duas partes</w:t>
            </w:r>
          </w:p>
        </w:tc>
        <w:tc>
          <w:tcPr>
            <w:tcW w:type="dxa" w:w="1560"/>
          </w:tcPr>
          <w:p>
            <w:r>
              <w:rPr>
                <w:sz w:val="18"/>
              </w:rPr>
              <w:t>1.559</w:t>
            </w:r>
          </w:p>
        </w:tc>
        <w:tc>
          <w:tcPr>
            <w:tcW w:type="dxa" w:w="1560"/>
          </w:tcPr>
          <w:p>
            <w:r>
              <w:rPr>
                <w:sz w:val="18"/>
              </w:rPr>
              <w:t>String integral documentada; registros indexados na Core Collection.</w:t>
            </w:r>
          </w:p>
        </w:tc>
      </w:tr>
      <w:tr>
        <w:tc>
          <w:tcPr>
            <w:tcW w:type="dxa" w:w="1560"/>
          </w:tcPr>
          <w:p>
            <w:r>
              <w:rPr>
                <w:sz w:val="18"/>
              </w:rPr>
              <w:t>Sensibilidade IA/ML</w:t>
            </w:r>
          </w:p>
        </w:tc>
        <w:tc>
          <w:tcPr>
            <w:tcW w:type="dxa" w:w="1560"/>
          </w:tcPr>
          <w:p>
            <w:r>
              <w:rPr>
                <w:sz w:val="18"/>
              </w:rPr>
              <w:t>Crossref</w:t>
            </w:r>
          </w:p>
        </w:tc>
        <w:tc>
          <w:tcPr>
            <w:tcW w:type="dxa" w:w="1560"/>
          </w:tcPr>
          <w:p>
            <w:r>
              <w:rPr>
                <w:sz w:val="18"/>
              </w:rPr>
              <w:t>12/07/2026</w:t>
            </w:r>
          </w:p>
        </w:tc>
        <w:tc>
          <w:tcPr>
            <w:tcW w:type="dxa" w:w="1560"/>
          </w:tcPr>
          <w:p>
            <w:r>
              <w:rPr>
                <w:sz w:val="18"/>
              </w:rPr>
              <w:t>10 em query.bibliographic</w:t>
            </w:r>
          </w:p>
        </w:tc>
        <w:tc>
          <w:tcPr>
            <w:tcW w:type="dxa" w:w="1560"/>
          </w:tcPr>
          <w:p>
            <w:r>
              <w:rPr>
                <w:sz w:val="18"/>
              </w:rPr>
              <w:t>2.000</w:t>
            </w:r>
          </w:p>
        </w:tc>
        <w:tc>
          <w:tcPr>
            <w:tcW w:type="dxa" w:w="1560"/>
          </w:tcPr>
          <w:p>
            <w:r>
              <w:rPr>
                <w:sz w:val="18"/>
              </w:rPr>
              <w:t>Consultas preservadas; 1.993 após deduplicação interna.</w:t>
            </w:r>
          </w:p>
        </w:tc>
      </w:tr>
      <w:tr>
        <w:tc>
          <w:tcPr>
            <w:tcW w:type="dxa" w:w="1560"/>
          </w:tcPr>
          <w:p>
            <w:r>
              <w:rPr>
                <w:sz w:val="18"/>
              </w:rPr>
              <w:t>(lr)1-6</w:t>
            </w:r>
          </w:p>
        </w:tc>
        <w:tc>
          <w:tcPr>
            <w:tcW w:type="dxa" w:w="1560"/>
          </w:tcPr>
          <w:p>
            <w:r>
              <w:rPr>
                <w:sz w:val="18"/>
              </w:rPr>
              <w:t>6.728</w:t>
            </w:r>
          </w:p>
        </w:tc>
        <w:tc>
          <w:tcPr>
            <w:tcW w:type="dxa" w:w="1560"/>
          </w:tcPr>
          <w:p>
            <w:r>
              <w:rPr>
                <w:sz w:val="18"/>
              </w:rPr>
              <w:t>12 consultas, antes da deduplicação.</w:t>
            </w:r>
          </w:p>
        </w:tc>
        <w:tc>
          <w:tcPr>
            <w:tcW w:type="dxa" w:w="1560"/>
          </w:tcPr>
          <w:p>
            <w:r>
              <w:rPr>
                <w:sz w:val="18"/>
              </w:rPr>
            </w:r>
          </w:p>
        </w:tc>
        <w:tc>
          <w:tcPr>
            <w:tcW w:type="dxa" w:w="1560"/>
          </w:tcPr>
          <w:p>
            <w:r>
              <w:rPr>
                <w:sz w:val="18"/>
              </w:rPr>
            </w:r>
          </w:p>
        </w:tc>
        <w:tc>
          <w:tcPr>
            <w:tcW w:type="dxa" w:w="1560"/>
          </w:tcPr>
          <w:p>
            <w:r>
              <w:rPr>
                <w:sz w:val="18"/>
              </w:rPr>
            </w:r>
          </w:p>
        </w:tc>
      </w:tr>
    </w:tbl>
    <w:p/>
    <w:p>
      <w:pPr>
        <w:pStyle w:val="BodyText"/>
      </w:pPr>
      <w:r>
        <w:t xml:space="preserve">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4</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5</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6</w:t>
        </w:r>
      </w:hyperlink>
      <w:r>
        <w:t xml:space="preserve"> </w:t>
      </w:r>
      <w:r>
        <w:t xml:space="preserve">preserva a rastreabilidade detalhada da busca principal até o núcleo original de 104 registros. A Figura </w:t>
      </w:r>
      <w:hyperlink w:anchor="fig:funil">
        <w:r>
          <w:rPr>
            <w:rStyle w:val="Hyperlink"/>
          </w:rPr>
          <w:t xml:space="preserve">1</w:t>
        </w:r>
      </w:hyperlink>
      <w:r>
        <w:t xml:space="preserve"> </w:t>
      </w:r>
      <w:r>
        <w:t xml:space="preserve">integra esse percurso à busca complementar de sensibilidade e explicita a convergência no núcleo temático vigente de 121 registros.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jc w:val="center"/>
      </w:pPr>
      <w:r>
        <w:drawing>
          <wp:inline>
            <wp:extent cx="5669280" cy="2752897"/>
            <wp:docPr id="59" name="Picture 59"/>
            <wp:cNvGraphicFramePr>
              <a:graphicFrameLocks noChangeAspect="1"/>
            </wp:cNvGraphicFramePr>
            <a:graphic>
              <a:graphicData uri="http://schemas.openxmlformats.org/drawingml/2006/picture">
                <pic:pic>
                  <pic:nvPicPr>
                    <pic:cNvPr id="0" name="figura_tikz_1.png"/>
                    <pic:cNvPicPr/>
                  </pic:nvPicPr>
                  <pic:blipFill>
                    <a:blip r:embed="rId9"/>
                    <a:stretch>
                      <a:fillRect/>
                    </a:stretch>
                  </pic:blipFill>
                  <pic:spPr>
                    <a:xfrm>
                      <a:off x="0" y="0"/>
                      <a:ext cx="5669280" cy="2752897"/>
                    </a:xfrm>
                    <a:prstGeom prst="rect"/>
                  </pic:spPr>
                </pic:pic>
              </a:graphicData>
            </a:graphic>
          </wp:inline>
        </w:drawing>
      </w:r>
    </w:p>
    <w:p>
      <w:pPr>
        <w:pStyle w:val="ImageCaption"/>
      </w:pPr>
      <w:r>
        <w:t xml:space="preserve">Fluxo integrado da busca principal e da busca complementar de sensibilidade</w:t>
      </w:r>
    </w:p>
    <w:p>
      <w:pPr>
        <w:pStyle w:val="BodyText"/>
      </w:pPr>
      <w:r>
        <w:t xml:space="preserve">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p>
    <w:bookmarkEnd w:id="24"/>
    <w:bookmarkStart w:id="25" w:name="sec:buscaia"/>
    <w:p>
      <w:pPr>
        <w:pStyle w:val="Heading2"/>
      </w:pPr>
      <w:r>
        <w:t xml:space="preserve">Busca complementar de sensibilidade para inteligência artificial e aprendizado de máquina</w:t>
      </w:r>
    </w:p>
    <w:p>
      <w:pPr>
        <w:pStyle w:val="FirstParagraph"/>
      </w:pPr>
      <w:r>
        <w:t xml:space="preserve">As quatro expressões booleanas do núcleo original (Tabela </w:t>
      </w:r>
      <w:hyperlink w:anchor="tab:estrategiabusca">
        <w:r>
          <w:rPr>
            <w:rStyle w:val="Hyperlink"/>
          </w:rPr>
          <w:t xml:space="preserve">3</w:t>
        </w:r>
      </w:hyperlink>
      <w:r>
        <w:t xml:space="preserve">)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pPr>
      <w:r>
        <w:t xml:space="preserve">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pPr>
      <w:r>
        <w:t xml:space="preserve">Uma nova pergunta de pesquisa (RQ6), dedicada a IA e aprendizado de máquina, foi formalizada em manual de codificação próprio, com dois níveis de termos: um conjunto que confirma isoladamente uma técnica computacional (por exemplo,</w:t>
      </w:r>
      <w:r>
        <w:t xml:space="preserve"> </w:t>
      </w:r>
      <w:r>
        <w:rPr>
          <w:iCs/>
          <w:i/>
        </w:rPr>
        <w:t xml:space="preserve">machine learning</w:t>
      </w:r>
      <w:r>
        <w:t xml:space="preserve">,</w:t>
      </w:r>
      <w:r>
        <w:t xml:space="preserve"> </w:t>
      </w:r>
      <w:r>
        <w:rPr>
          <w:iCs/>
          <w:i/>
        </w:rPr>
        <w:t xml:space="preserve">neural network</w:t>
      </w:r>
      <w:r>
        <w:t xml:space="preserve">,</w:t>
      </w:r>
      <w:r>
        <w:t xml:space="preserve"> </w:t>
      </w:r>
      <w:r>
        <w:rPr>
          <w:iCs/>
          <w:i/>
        </w:rPr>
        <w:t xml:space="preserve">random forest</w:t>
      </w:r>
      <w:r>
        <w:t xml:space="preserve">,</w:t>
      </w:r>
      <w:r>
        <w:t xml:space="preserve"> </w:t>
      </w:r>
      <w:r>
        <w:rPr>
          <w:iCs/>
          <w:i/>
        </w:rPr>
        <w:t xml:space="preserve">large language model</w:t>
      </w:r>
      <w:r>
        <w:t xml:space="preserve">) e outro de termos ambíguos que exigem contexto adicional e nunca confirmam IA isoladamente (por exemplo, manutenção preditiva, BIM,</w:t>
      </w:r>
      <w:r>
        <w:t xml:space="preserve"> </w:t>
      </w:r>
      <w:r>
        <w:rPr>
          <w:iCs/>
          <w:i/>
        </w:rPr>
        <w:t xml:space="preserve">digital twin</w:t>
      </w:r>
      <w:r>
        <w:t xml:space="preserve">, IoT e</w:t>
      </w:r>
      <w:r>
        <w:t xml:space="preserve"> </w:t>
      </w:r>
      <w:r>
        <w:rPr>
          <w:iCs/>
          <w:i/>
        </w:rPr>
        <w:t xml:space="preserve">decision tree</w:t>
      </w:r>
      <w:r>
        <w:t xml:space="preserve"> </w:t>
      </w:r>
      <w:r>
        <w:t xml:space="preserve">fora de contexto de algoritmo treinado). Essa distinção evita tratar manutenção preditiva, BIM ou</w:t>
      </w:r>
      <w:r>
        <w:t xml:space="preserve"> </w:t>
      </w:r>
      <w:r>
        <w:rPr>
          <w:iCs/>
          <w:i/>
        </w:rPr>
        <w:t xml:space="preserve">digital twin</w:t>
      </w:r>
      <w:r>
        <w:t xml:space="preserve"> </w:t>
      </w:r>
      <w:r>
        <w:t xml:space="preserve">como sinônimos de IA, pois plataformas digitais, modelos treinados e mecanismos de decisão ocupam níveis analíticos distintos</w:t>
      </w:r>
      <w:r>
        <w:t xml:space="preserve"> </w:t>
      </w:r>
      <w:r>
        <w:t xml:space="preserve">(Deng, Menassa, and Kamat 2021; Das 2025)</w:t>
      </w:r>
      <w:r>
        <w:t xml:space="preserve">.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pPr>
      <w:r>
        <w:t xml:space="preserve">Os registros com aplicação de IA e aprendizado de máquina confirmada foram submetidos ao mesmo critério de elegibilidade do núcleo original (objeto predial e sustentabilidade obrigatórios). Revisão individual de título e resumo removeu, em seguida, oito candidatos cuja aplicação, apesar de tecnicamente confirmada, ocorria em domínio industrial, aeroespacial ou veicular sem relação com edificações. Sete registros já pertencentes ao núcleo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p>
    <w:bookmarkEnd w:id="25"/>
    <w:bookmarkEnd w:id="26"/>
    <w:bookmarkStart w:id="39"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121 registros (104 do corpus original e 17 incorporados pela busca complementar de sensibilidade para inteligência artificial e aprendizado de máquina, Seção </w:t>
      </w:r>
      <w:hyperlink w:anchor="sec:buscaia">
        <w:r>
          <w:rPr>
            <w:rStyle w:val="Hyperlink"/>
          </w:rPr>
          <w:t xml:space="preserve">3.4</w:t>
        </w:r>
      </w:hyperlink>
      <w:r>
        <w:t xml:space="preserve">)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Gráfico </w:t>
      </w:r>
      <w:hyperlink w:anchor="fig:fontes372">
        <w:r>
          <w:rPr>
            <w:rStyle w:val="Hyperlink"/>
          </w:rPr>
          <w:t xml:space="preserve">2</w:t>
        </w:r>
      </w:hyperlink>
      <w:r>
        <w:t xml:space="preserve"> </w:t>
      </w:r>
      <w:r>
        <w:t xml:space="preserve">sintetiza a distribuição editorial do corpus, composto por 208 fontes.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Gráfico </w:t>
      </w:r>
      <w:hyperlink w:anchor="fig:mapatematico372">
        <w:r>
          <w:rPr>
            <w:rStyle w:val="Hyperlink"/>
          </w:rPr>
          <w:t xml:space="preserve">3</w:t>
        </w:r>
      </w:hyperlink>
      <w:r>
        <w:t xml:space="preserve"> </w:t>
      </w:r>
      <w:r>
        <w:t xml:space="preserve">apresenta o mapa temático, no qual foram identificados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O Gráfico </w:t>
      </w:r>
      <w:hyperlink w:anchor="fig:redecor372">
        <w:r>
          <w:rPr>
            <w:rStyle w:val="Hyperlink"/>
          </w:rPr>
          <w:t xml:space="preserve">4</w:t>
        </w:r>
      </w:hyperlink>
      <w:r>
        <w:t xml:space="preserve"> </w:t>
      </w:r>
      <w:r>
        <w:t xml:space="preserve">mostra a rede normalizada, que reforça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O Gráfico </w:t>
      </w:r>
      <w:hyperlink w:anchor="fig:evolucaotematica372">
        <w:r>
          <w:rPr>
            <w:rStyle w:val="Hyperlink"/>
          </w:rPr>
          <w:t xml:space="preserve">5</w:t>
        </w:r>
      </w:hyperlink>
      <w:r>
        <w:t xml:space="preserve"> </w:t>
      </w:r>
      <w:r>
        <w:t xml:space="preserve">compara os períodos e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Esse resultado descreve a estrutura documental do campo, mas não demonstra maturidade decisória. Por isso, as seções seguintes usam o núcleo temático de 121 registros para examinar se tais temas se convertem em dimensões, critérios, métodos e regras aplicáveis à priorização pública universitária.</w:t>
      </w:r>
    </w:p>
    <w:bookmarkEnd w:id="39"/>
    <w:bookmarkStart w:id="43" w:name="sec:panorama"/>
    <w:p>
      <w:pPr>
        <w:pStyle w:val="Heading1"/>
      </w:pPr>
      <w:r>
        <w:t xml:space="preserve">Panorama bibliométrico e corpus da revisão</w:t>
      </w:r>
    </w:p>
    <w:p>
      <w:pPr>
        <w:pStyle w:val="FirstParagraph"/>
      </w:pPr>
      <w:r>
        <w:t xml:space="preserve">O núcleo final reúne 121 registros publicados entre 2010 e 2026, sendo 104 do corpus original e 17 incorporados pela busca complementar de sensibilidade para inteligência artificial e aprendizado de máquina (Seção </w:t>
      </w:r>
      <w:hyperlink w:anchor="sec:buscaia">
        <w:r>
          <w:rPr>
            <w:rStyle w:val="Hyperlink"/>
          </w:rPr>
          <w:t xml:space="preserve">3.4</w:t>
        </w:r>
      </w:hyperlink>
      <w:r>
        <w:t xml:space="preserve">). O período de 2019 a 2026 concentra 101 registros, correspondentes a 83,5% do núcleo, com maior frequência em 2025, quando foram identificados 29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ampliado_121.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7</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121</w:t>
            </w:r>
          </w:p>
        </w:tc>
        <w:tc>
          <w:tcPr>
            <w:tcW w:type="dxa" w:w="2340"/>
          </w:tcPr>
          <w:p>
            <w:r>
              <w:rPr>
                <w:b/>
                <w:sz w:val="18"/>
              </w:rPr>
              <w:t>Observação</w:t>
            </w:r>
          </w:p>
        </w:tc>
      </w:tr>
      <w:tr>
        <w:tc>
          <w:tcPr>
            <w:tcW w:type="dxa" w:w="2340"/>
          </w:tcPr>
          <w:p>
            <w:r>
              <w:rPr>
                <w:sz w:val="18"/>
              </w:rPr>
              <w:t>Scopus</w:t>
            </w:r>
          </w:p>
        </w:tc>
        <w:tc>
          <w:tcPr>
            <w:tcW w:type="dxa" w:w="2340"/>
          </w:tcPr>
          <w:p>
            <w:r>
              <w:rPr>
                <w:sz w:val="18"/>
              </w:rPr>
              <w:t>113</w:t>
            </w:r>
          </w:p>
        </w:tc>
        <w:tc>
          <w:tcPr>
            <w:tcW w:type="dxa" w:w="2340"/>
          </w:tcPr>
          <w:p>
            <w:r>
              <w:rPr>
                <w:sz w:val="18"/>
              </w:rPr>
              <w:t>93,4</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51</w:t>
            </w:r>
          </w:p>
        </w:tc>
        <w:tc>
          <w:tcPr>
            <w:tcW w:type="dxa" w:w="2340"/>
          </w:tcPr>
          <w:p>
            <w:r>
              <w:rPr>
                <w:sz w:val="18"/>
              </w:rPr>
              <w:t>42,1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5,0</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90</w:t>
            </w:r>
          </w:p>
        </w:tc>
        <w:tc>
          <w:tcPr>
            <w:tcW w:type="dxa" w:w="2340"/>
          </w:tcPr>
          <w:p>
            <w:r>
              <w:rPr>
                <w:sz w:val="18"/>
              </w:rPr>
              <w:t>74,4</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20</w:t>
            </w:r>
          </w:p>
        </w:tc>
        <w:tc>
          <w:tcPr>
            <w:tcW w:type="dxa" w:w="2340"/>
          </w:tcPr>
          <w:p>
            <w:r>
              <w:rPr>
                <w:sz w:val="18"/>
              </w:rPr>
              <w:t>16,5</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11</w:t>
            </w:r>
          </w:p>
        </w:tc>
        <w:tc>
          <w:tcPr>
            <w:tcW w:type="dxa" w:w="2340"/>
          </w:tcPr>
          <w:p>
            <w:r>
              <w:rPr>
                <w:sz w:val="18"/>
              </w:rPr>
              <w:t>9,1</w:t>
            </w:r>
          </w:p>
        </w:tc>
        <w:tc>
          <w:tcPr>
            <w:tcW w:type="dxa" w:w="2340"/>
          </w:tcPr>
          <w:p>
            <w:r>
              <w:rPr>
                <w:sz w:val="18"/>
              </w:rPr>
              <w:t>Book Series e Book.</w:t>
            </w:r>
          </w:p>
        </w:tc>
      </w:tr>
    </w:tbl>
    <w:p/>
    <w:p>
      <w:pPr>
        <w:pStyle w:val="BodyText"/>
      </w:pPr>
      <w:r>
        <w:t xml:space="preserve">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p>
    <w:bookmarkEnd w:id="43"/>
    <w:bookmarkStart w:id="47" w:name="sec:criterios"/>
    <w:p>
      <w:pPr>
        <w:pStyle w:val="Heading1"/>
      </w:pPr>
      <w:r>
        <w:t xml:space="preserve">Critérios de sustentabilidade e priorização</w:t>
      </w:r>
    </w:p>
    <w:p>
      <w:pPr>
        <w:pStyle w:val="FirstParagraph"/>
      </w:pPr>
      <w:r>
        <w:t xml:space="preserve">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ampliado_121.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121</w:t>
            </w:r>
          </w:p>
        </w:tc>
      </w:tr>
      <w:tr>
        <w:tc>
          <w:tcPr>
            <w:tcW w:type="dxa" w:w="3120"/>
          </w:tcPr>
          <w:p>
            <w:r>
              <w:rPr>
                <w:sz w:val="18"/>
              </w:rPr>
              <w:t>Desempenho operacional</w:t>
            </w:r>
          </w:p>
        </w:tc>
        <w:tc>
          <w:tcPr>
            <w:tcW w:type="dxa" w:w="3120"/>
          </w:tcPr>
          <w:p>
            <w:r>
              <w:rPr>
                <w:sz w:val="18"/>
              </w:rPr>
              <w:t>99</w:t>
            </w:r>
          </w:p>
        </w:tc>
        <w:tc>
          <w:tcPr>
            <w:tcW w:type="dxa" w:w="3120"/>
          </w:tcPr>
          <w:p>
            <w:r>
              <w:rPr>
                <w:sz w:val="18"/>
              </w:rPr>
              <w:t>81,8</w:t>
            </w:r>
          </w:p>
        </w:tc>
      </w:tr>
      <w:tr>
        <w:tc>
          <w:tcPr>
            <w:tcW w:type="dxa" w:w="3120"/>
          </w:tcPr>
          <w:p>
            <w:r>
              <w:rPr>
                <w:sz w:val="18"/>
              </w:rPr>
              <w:t>Informação e dados</w:t>
            </w:r>
          </w:p>
        </w:tc>
        <w:tc>
          <w:tcPr>
            <w:tcW w:type="dxa" w:w="3120"/>
          </w:tcPr>
          <w:p>
            <w:r>
              <w:rPr>
                <w:sz w:val="18"/>
              </w:rPr>
              <w:t>82</w:t>
            </w:r>
          </w:p>
        </w:tc>
        <w:tc>
          <w:tcPr>
            <w:tcW w:type="dxa" w:w="3120"/>
          </w:tcPr>
          <w:p>
            <w:r>
              <w:rPr>
                <w:sz w:val="18"/>
              </w:rPr>
              <w:t>67,8</w:t>
            </w:r>
          </w:p>
        </w:tc>
      </w:tr>
      <w:tr>
        <w:tc>
          <w:tcPr>
            <w:tcW w:type="dxa" w:w="3120"/>
          </w:tcPr>
          <w:p>
            <w:r>
              <w:rPr>
                <w:sz w:val="18"/>
              </w:rPr>
              <w:t>Custo</w:t>
            </w:r>
          </w:p>
        </w:tc>
        <w:tc>
          <w:tcPr>
            <w:tcW w:type="dxa" w:w="3120"/>
          </w:tcPr>
          <w:p>
            <w:r>
              <w:rPr>
                <w:sz w:val="18"/>
              </w:rPr>
              <w:t>63</w:t>
            </w:r>
          </w:p>
        </w:tc>
        <w:tc>
          <w:tcPr>
            <w:tcW w:type="dxa" w:w="3120"/>
          </w:tcPr>
          <w:p>
            <w:r>
              <w:rPr>
                <w:sz w:val="18"/>
              </w:rPr>
              <w:t>52,1</w:t>
            </w:r>
          </w:p>
        </w:tc>
      </w:tr>
      <w:tr>
        <w:tc>
          <w:tcPr>
            <w:tcW w:type="dxa" w:w="3120"/>
          </w:tcPr>
          <w:p>
            <w:r>
              <w:rPr>
                <w:sz w:val="18"/>
              </w:rPr>
              <w:t>Energia</w:t>
            </w:r>
          </w:p>
        </w:tc>
        <w:tc>
          <w:tcPr>
            <w:tcW w:type="dxa" w:w="3120"/>
          </w:tcPr>
          <w:p>
            <w:r>
              <w:rPr>
                <w:sz w:val="18"/>
              </w:rPr>
              <w:t>44</w:t>
            </w:r>
          </w:p>
        </w:tc>
        <w:tc>
          <w:tcPr>
            <w:tcW w:type="dxa" w:w="3120"/>
          </w:tcPr>
          <w:p>
            <w:r>
              <w:rPr>
                <w:sz w:val="18"/>
              </w:rPr>
              <w:t>36,4</w:t>
            </w:r>
          </w:p>
        </w:tc>
      </w:tr>
      <w:tr>
        <w:tc>
          <w:tcPr>
            <w:tcW w:type="dxa" w:w="3120"/>
          </w:tcPr>
          <w:p>
            <w:r>
              <w:rPr>
                <w:sz w:val="18"/>
              </w:rPr>
              <w:t>Vida útil</w:t>
            </w:r>
          </w:p>
        </w:tc>
        <w:tc>
          <w:tcPr>
            <w:tcW w:type="dxa" w:w="3120"/>
          </w:tcPr>
          <w:p>
            <w:r>
              <w:rPr>
                <w:sz w:val="18"/>
              </w:rPr>
              <w:t>44</w:t>
            </w:r>
          </w:p>
        </w:tc>
        <w:tc>
          <w:tcPr>
            <w:tcW w:type="dxa" w:w="3120"/>
          </w:tcPr>
          <w:p>
            <w:r>
              <w:rPr>
                <w:sz w:val="18"/>
              </w:rPr>
              <w:t>36,4</w:t>
            </w:r>
          </w:p>
        </w:tc>
      </w:tr>
      <w:tr>
        <w:tc>
          <w:tcPr>
            <w:tcW w:type="dxa" w:w="3120"/>
          </w:tcPr>
          <w:p>
            <w:r>
              <w:rPr>
                <w:sz w:val="18"/>
              </w:rPr>
              <w:t>Condição física</w:t>
            </w:r>
          </w:p>
        </w:tc>
        <w:tc>
          <w:tcPr>
            <w:tcW w:type="dxa" w:w="3120"/>
          </w:tcPr>
          <w:p>
            <w:r>
              <w:rPr>
                <w:sz w:val="18"/>
              </w:rPr>
              <w:t>34</w:t>
            </w:r>
          </w:p>
        </w:tc>
        <w:tc>
          <w:tcPr>
            <w:tcW w:type="dxa" w:w="3120"/>
          </w:tcPr>
          <w:p>
            <w:r>
              <w:rPr>
                <w:sz w:val="18"/>
              </w:rPr>
              <w:t>28,1</w:t>
            </w:r>
          </w:p>
        </w:tc>
      </w:tr>
      <w:tr>
        <w:tc>
          <w:tcPr>
            <w:tcW w:type="dxa" w:w="3120"/>
          </w:tcPr>
          <w:p>
            <w:r>
              <w:rPr>
                <w:sz w:val="18"/>
              </w:rPr>
              <w:t>Risco</w:t>
            </w:r>
          </w:p>
        </w:tc>
        <w:tc>
          <w:tcPr>
            <w:tcW w:type="dxa" w:w="3120"/>
          </w:tcPr>
          <w:p>
            <w:r>
              <w:rPr>
                <w:sz w:val="18"/>
              </w:rPr>
              <w:t>33</w:t>
            </w:r>
          </w:p>
        </w:tc>
        <w:tc>
          <w:tcPr>
            <w:tcW w:type="dxa" w:w="3120"/>
          </w:tcPr>
          <w:p>
            <w:r>
              <w:rPr>
                <w:sz w:val="18"/>
              </w:rPr>
              <w:t>27,3</w:t>
            </w:r>
          </w:p>
        </w:tc>
      </w:tr>
      <w:tr>
        <w:tc>
          <w:tcPr>
            <w:tcW w:type="dxa" w:w="3120"/>
          </w:tcPr>
          <w:p>
            <w:r>
              <w:rPr>
                <w:sz w:val="18"/>
              </w:rPr>
              <w:t>Manutenibilidade</w:t>
            </w:r>
          </w:p>
        </w:tc>
        <w:tc>
          <w:tcPr>
            <w:tcW w:type="dxa" w:w="3120"/>
          </w:tcPr>
          <w:p>
            <w:r>
              <w:rPr>
                <w:sz w:val="18"/>
              </w:rPr>
              <w:t>25</w:t>
            </w:r>
          </w:p>
        </w:tc>
        <w:tc>
          <w:tcPr>
            <w:tcW w:type="dxa" w:w="3120"/>
          </w:tcPr>
          <w:p>
            <w:r>
              <w:rPr>
                <w:sz w:val="18"/>
              </w:rPr>
              <w:t>20,7</w:t>
            </w:r>
          </w:p>
        </w:tc>
      </w:tr>
      <w:tr>
        <w:tc>
          <w:tcPr>
            <w:tcW w:type="dxa" w:w="3120"/>
          </w:tcPr>
          <w:p>
            <w:r>
              <w:rPr>
                <w:sz w:val="18"/>
              </w:rPr>
              <w:t>Conforto</w:t>
            </w:r>
          </w:p>
        </w:tc>
        <w:tc>
          <w:tcPr>
            <w:tcW w:type="dxa" w:w="3120"/>
          </w:tcPr>
          <w:p>
            <w:r>
              <w:rPr>
                <w:sz w:val="18"/>
              </w:rPr>
              <w:t>22</w:t>
            </w:r>
          </w:p>
        </w:tc>
        <w:tc>
          <w:tcPr>
            <w:tcW w:type="dxa" w:w="3120"/>
          </w:tcPr>
          <w:p>
            <w:r>
              <w:rPr>
                <w:sz w:val="18"/>
              </w:rPr>
              <w:t>18,2</w:t>
            </w:r>
          </w:p>
        </w:tc>
      </w:tr>
      <w:tr>
        <w:tc>
          <w:tcPr>
            <w:tcW w:type="dxa" w:w="3120"/>
          </w:tcPr>
          <w:p>
            <w:r>
              <w:rPr>
                <w:sz w:val="18"/>
              </w:rPr>
              <w:t>Segurança</w:t>
            </w:r>
          </w:p>
        </w:tc>
        <w:tc>
          <w:tcPr>
            <w:tcW w:type="dxa" w:w="3120"/>
          </w:tcPr>
          <w:p>
            <w:r>
              <w:rPr>
                <w:sz w:val="18"/>
              </w:rPr>
              <w:t>18</w:t>
            </w:r>
          </w:p>
        </w:tc>
        <w:tc>
          <w:tcPr>
            <w:tcW w:type="dxa" w:w="3120"/>
          </w:tcPr>
          <w:p>
            <w:r>
              <w:rPr>
                <w:sz w:val="18"/>
              </w:rPr>
              <w:t>14,9</w:t>
            </w:r>
          </w:p>
        </w:tc>
      </w:tr>
      <w:tr>
        <w:tc>
          <w:tcPr>
            <w:tcW w:type="dxa" w:w="3120"/>
          </w:tcPr>
          <w:p>
            <w:r>
              <w:rPr>
                <w:sz w:val="18"/>
              </w:rPr>
              <w:t>Emissões de carbono</w:t>
            </w:r>
          </w:p>
        </w:tc>
        <w:tc>
          <w:tcPr>
            <w:tcW w:type="dxa" w:w="3120"/>
          </w:tcPr>
          <w:p>
            <w:r>
              <w:rPr>
                <w:sz w:val="18"/>
              </w:rPr>
              <w:t>15</w:t>
            </w:r>
          </w:p>
        </w:tc>
        <w:tc>
          <w:tcPr>
            <w:tcW w:type="dxa" w:w="3120"/>
          </w:tcPr>
          <w:p>
            <w:r>
              <w:rPr>
                <w:sz w:val="18"/>
              </w:rPr>
              <w:t>12,4</w:t>
            </w:r>
          </w:p>
        </w:tc>
      </w:tr>
      <w:tr>
        <w:tc>
          <w:tcPr>
            <w:tcW w:type="dxa" w:w="3120"/>
          </w:tcPr>
          <w:p>
            <w:r>
              <w:rPr>
                <w:sz w:val="18"/>
              </w:rPr>
              <w:t>Resíduos</w:t>
            </w:r>
          </w:p>
        </w:tc>
        <w:tc>
          <w:tcPr>
            <w:tcW w:type="dxa" w:w="3120"/>
          </w:tcPr>
          <w:p>
            <w:r>
              <w:rPr>
                <w:sz w:val="18"/>
              </w:rPr>
              <w:t>13</w:t>
            </w:r>
          </w:p>
        </w:tc>
        <w:tc>
          <w:tcPr>
            <w:tcW w:type="dxa" w:w="3120"/>
          </w:tcPr>
          <w:p>
            <w:r>
              <w:rPr>
                <w:sz w:val="18"/>
              </w:rPr>
              <w:t>10,7</w:t>
            </w:r>
          </w:p>
        </w:tc>
      </w:tr>
      <w:tr>
        <w:tc>
          <w:tcPr>
            <w:tcW w:type="dxa" w:w="3120"/>
          </w:tcPr>
          <w:p>
            <w:r>
              <w:rPr>
                <w:sz w:val="18"/>
              </w:rPr>
              <w:t>Satisfação do usuário</w:t>
            </w:r>
          </w:p>
        </w:tc>
        <w:tc>
          <w:tcPr>
            <w:tcW w:type="dxa" w:w="3120"/>
          </w:tcPr>
          <w:p>
            <w:r>
              <w:rPr>
                <w:sz w:val="18"/>
              </w:rPr>
              <w:t>9</w:t>
            </w:r>
          </w:p>
        </w:tc>
        <w:tc>
          <w:tcPr>
            <w:tcW w:type="dxa" w:w="3120"/>
          </w:tcPr>
          <w:p>
            <w:r>
              <w:rPr>
                <w:sz w:val="18"/>
              </w:rPr>
              <w:t>7,4</w:t>
            </w:r>
          </w:p>
        </w:tc>
      </w:tr>
      <w:tr>
        <w:tc>
          <w:tcPr>
            <w:tcW w:type="dxa" w:w="3120"/>
          </w:tcPr>
          <w:p>
            <w:r>
              <w:rPr>
                <w:sz w:val="18"/>
              </w:rPr>
              <w:t>Água</w:t>
            </w:r>
          </w:p>
        </w:tc>
        <w:tc>
          <w:tcPr>
            <w:tcW w:type="dxa" w:w="3120"/>
          </w:tcPr>
          <w:p>
            <w:r>
              <w:rPr>
                <w:sz w:val="18"/>
              </w:rPr>
              <w:t>6</w:t>
            </w:r>
          </w:p>
        </w:tc>
        <w:tc>
          <w:tcPr>
            <w:tcW w:type="dxa" w:w="3120"/>
          </w:tcPr>
          <w:p>
            <w:r>
              <w:rPr>
                <w:sz w:val="18"/>
              </w:rPr>
              <w:t>5,0</w:t>
            </w:r>
          </w:p>
        </w:tc>
      </w:tr>
      <w:tr>
        <w:tc>
          <w:tcPr>
            <w:tcW w:type="dxa" w:w="3120"/>
          </w:tcPr>
          <w:p>
            <w:r>
              <w:rPr>
                <w:sz w:val="18"/>
              </w:rPr>
              <w:t>Qualidade de serviço</w:t>
            </w:r>
          </w:p>
        </w:tc>
        <w:tc>
          <w:tcPr>
            <w:tcW w:type="dxa" w:w="3120"/>
          </w:tcPr>
          <w:p>
            <w:r>
              <w:rPr>
                <w:sz w:val="18"/>
              </w:rPr>
              <w:t>6</w:t>
            </w:r>
          </w:p>
        </w:tc>
        <w:tc>
          <w:tcPr>
            <w:tcW w:type="dxa" w:w="3120"/>
          </w:tcPr>
          <w:p>
            <w:r>
              <w:rPr>
                <w:sz w:val="18"/>
              </w:rPr>
              <w:t>5,0</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sec:metodos"/>
    <w:p>
      <w:pPr>
        <w:pStyle w:val="Heading1"/>
      </w:pPr>
      <w:r>
        <w:t xml:space="preserve">Métodos de apoio à decisão</w:t>
      </w:r>
    </w:p>
    <w:p>
      <w:pPr>
        <w:pStyle w:val="FirstParagraph"/>
      </w:pPr>
      <w:r>
        <w:t xml:space="preserve">Em resposta à RQ3, a categoria ampla</w:t>
      </w:r>
      <w:r>
        <w:t xml:space="preserve"> </w:t>
      </w:r>
      <w:r>
        <w:rPr>
          <w:iCs/>
          <w:i/>
        </w:rPr>
        <w:t xml:space="preserve">framework</w:t>
      </w:r>
      <w:r>
        <w:t xml:space="preserve"> </w:t>
      </w:r>
      <w:r>
        <w:t xml:space="preserve">foi atribuída a 101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28 e 29, seguidos de aprendizado de máquina em 26, otimização em 19, pontuação em 17 e custo do ciclo de vida em 16.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ampliado_121.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28 registros (23,1%) e</w:t>
      </w:r>
      <w:r>
        <w:t xml:space="preserve"> </w:t>
      </w:r>
      <w:r>
        <w:rPr>
          <w:iCs/>
          <w:i/>
        </w:rPr>
        <w:t xml:space="preserve">digital twin</w:t>
      </w:r>
      <w:r>
        <w:t xml:space="preserve"> </w:t>
      </w:r>
      <w:r>
        <w:t xml:space="preserve">em 11 (9,1%), presença que indica trajetória tecnológica, não maturidade das universidades públicas. Aprendizado de máquina, tema da busca complementar de sensibilidade (Seção </w:t>
      </w:r>
      <w:hyperlink w:anchor="sec:buscaia">
        <w:r>
          <w:rPr>
            <w:rStyle w:val="Hyperlink"/>
          </w:rPr>
          <w:t xml:space="preserve">3.4</w:t>
        </w:r>
      </w:hyperlink>
      <w:r>
        <w:t xml:space="preserve">), salta de nove para 26 registros (21,5%) entre o núcleo original e o núcleo ampliado, crescimento concentrado, por construção, nos 17 estudos incorporados por essa busca, e não em uma tendência observada de forma independente na busca original. Os demais métodos crescem de forma modesta e proporcional ao aumento geral do núcleo, sem evidência de que a busca de sensibilidade tenha inflado artificialmente outras categorias metodológicas.</w:t>
      </w:r>
    </w:p>
    <w:p>
      <w:pPr>
        <w:pStyle w:val="BodyText"/>
      </w:pPr>
      <w:r>
        <w:t xml:space="preserve">Esses resultados não tornam BIM,</w:t>
      </w:r>
      <w:r>
        <w:t xml:space="preserve"> </w:t>
      </w:r>
      <w:r>
        <w:rPr>
          <w:iCs/>
          <w:i/>
        </w:rPr>
        <w:t xml:space="preserve">digital twin</w:t>
      </w:r>
      <w:r>
        <w:t xml:space="preserve"> </w:t>
      </w:r>
      <w:r>
        <w:t xml:space="preserve">ou aprendizado de máquina requisitos para a aplicação do protocolo. Como proposição deste artigo, a arquitetura deve funcionar com planilhas, cadastros, inspeções e ordens de serviço e admitir integração progressiva a plataformas digitais ou módulos preditivos, condicionada à validação do desempenho em operação real.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w:t>
      </w:r>
      <w:r>
        <w:t xml:space="preserve"> </w:t>
      </w:r>
      <w:r>
        <w:t xml:space="preserve">(Motuzienė et al. 2025)</w:t>
      </w:r>
      <w:r>
        <w:t xml:space="preserve">; regressão em grafos para estimar vida útil de componentes, na qual a GCN alcançou</w:t>
      </w:r>
      <w:r>
        <w:t xml:space="preserve"> </w:t>
      </w:r>
      <m:oMath>
        <m:sSup>
          <m:e>
            <m:r>
              <m:t>R</m:t>
            </m:r>
          </m:e>
          <m:sup>
            <m:r>
              <m:t>2</m:t>
            </m:r>
          </m:sup>
        </m:sSup>
        <m:r>
          <m:rPr>
            <m:sty m:val="p"/>
          </m:rPr>
          <m:t>=</m:t>
        </m:r>
        <m:r>
          <m:t>0</m:t>
        </m:r>
        <m:r>
          <m:rPr>
            <m:sty m:val="p"/>
          </m:rPr>
          <m:t>,</m:t>
        </m:r>
        <m:r>
          <m:t>83</m:t>
        </m:r>
      </m:oMath>
      <w:r>
        <w:t xml:space="preserve"> </w:t>
      </w:r>
      <w:r>
        <w:t xml:space="preserve">(Wu and Mundt-Petersen 2025)</w:t>
      </w:r>
      <w:r>
        <w:t xml:space="preserve">; e previsão conjunta de eletricidade, gás e água, com separação entre treino, validação e teste e erros distintos por variável</w:t>
      </w:r>
      <w:r>
        <w:t xml:space="preserve"> </w:t>
      </w:r>
      <w:r>
        <w:t xml:space="preserve">(Suh and Chang 2012)</w:t>
      </w:r>
      <w:r>
        <w:t xml:space="preserve">.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pPr>
      <w:r>
        <w:t xml:space="preserve">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w:t>
      </w:r>
      <w:r>
        <w:t xml:space="preserve"> </w:t>
      </w:r>
      <w:r>
        <w:t xml:space="preserve">(Das 2025)</w:t>
      </w:r>
      <w:r>
        <w:t xml:space="preserve">.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w:t>
      </w:r>
      <w:r>
        <w:t xml:space="preserve"> </w:t>
      </w:r>
      <w:r>
        <w:t xml:space="preserve">(Alici 2026)</w:t>
      </w:r>
      <w:r>
        <w:t xml:space="preserve">. Assim, a resposta à RQ6 é que a busca de sensibilidade revela uma camada relevante de produção de evidências preditivas, diagnósticas e operacionais, porém não demonstra integração sistemática desses resultados com ponderação institucional, regras de veto ou métodos multicritério. O módulo computacional pode informar critérios; não substitui a decisão pública.</w:t>
      </w:r>
    </w:p>
    <w:p>
      <w:pPr>
        <w:pStyle w:val="BodyText"/>
      </w:pPr>
      <w:r>
        <w:t xml:space="preserve">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Essa distribuição não estima prevalência no campo, pois decorre de uma busca construída para maximizar a recuperação de IA e aprendizado de máquina. Ela esclarece, contudo, o lugar desses métodos na arquitetura proposta: em três estudos a saída se aproxima de uma ação operacional ou recomendação direta, enquanto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pPr>
      <w:r>
        <w:t xml:space="preserve">Além do lote de sensibilidade, as leituras integrais do núcleo original distinguem integração informacional, simulação e estruturação decisória. A revisão de 123 estudos não encontrou</w:t>
      </w:r>
      <w:r>
        <w:t xml:space="preserve"> </w:t>
      </w:r>
      <w:r>
        <w:rPr>
          <w:iCs/>
          <w:i/>
        </w:rPr>
        <w:t xml:space="preserve">digital twin</w:t>
      </w:r>
      <w:r>
        <w:t xml:space="preserve"> </w:t>
      </w:r>
      <w:r>
        <w:t xml:space="preserve">com controle, otimização e retroalimentação plenos</w:t>
      </w:r>
      <w:r>
        <w:t xml:space="preserve"> </w:t>
      </w:r>
      <w:r>
        <w:t xml:space="preserve">(Deng, Menassa, and Kamat 2021)</w:t>
      </w:r>
      <w:r>
        <w:t xml:space="preserve">; outros trabalhos propõem ontologia de ativos, BIM 7D e comparação de estratégias por simulação</w:t>
      </w:r>
      <w:r>
        <w:t xml:space="preserve"> </w:t>
      </w:r>
      <w:r>
        <w:t xml:space="preserve">(Espinosa Gispert et al. 2025; Goretti and Kaming 2023; Ferreira et al. 2020)</w:t>
      </w:r>
      <w:r>
        <w:t xml:space="preserve">. No plano decisório, foram identificados um sistema conceitual Lean Six Sigma sem validação empírica, uma avaliação sintética fuzzy e um modelo de raciocínio baseado em casos com Fuzzy-AHP</w:t>
      </w:r>
      <w:r>
        <w:t xml:space="preserve"> </w:t>
      </w:r>
      <w:r>
        <w:t xml:space="preserve">(Aldairi, Khan, and Munive-Hernandez 2017; Yoon and Cha 2018; Park, Kwon, and Ahn 2019)</w:t>
      </w:r>
      <w:r>
        <w:t xml:space="preserve">. Esses casos confirmam que menção a método, aplicação formal e validação são níveis analíticos distintos; não demonstram adoção institucional generalizada.</w:t>
      </w:r>
    </w:p>
    <w:bookmarkEnd w:id="51"/>
    <w:bookmarkStart w:id="52" w:name="sec:aplicabilidade"/>
    <w:p>
      <w:pPr>
        <w:pStyle w:val="Heading1"/>
      </w:pPr>
      <w:r>
        <w:t xml:space="preserve">Aplicabilidade a edificações públicas universitárias</w:t>
      </w:r>
    </w:p>
    <w:p>
      <w:pPr>
        <w:pStyle w:val="FirstParagraph"/>
      </w:pPr>
      <w: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w:t>
      </w:r>
      <w:r>
        <w:t xml:space="preserve"> </w:t>
      </w:r>
      <w:r>
        <w:rPr>
          <w:iCs/>
          <w:i/>
        </w:rPr>
        <w:t xml:space="preserve">campus</w:t>
      </w:r>
      <w:r>
        <w:t xml:space="preserve">,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121</w:t>
            </w:r>
          </w:p>
        </w:tc>
      </w:tr>
      <w:tr>
        <w:tc>
          <w:tcPr>
            <w:tcW w:type="dxa" w:w="3120"/>
          </w:tcPr>
          <w:p>
            <w:r>
              <w:rPr>
                <w:sz w:val="18"/>
              </w:rPr>
              <w:t>Edificação genérica</w:t>
            </w:r>
          </w:p>
        </w:tc>
        <w:tc>
          <w:tcPr>
            <w:tcW w:type="dxa" w:w="3120"/>
          </w:tcPr>
          <w:p>
            <w:r>
              <w:rPr>
                <w:sz w:val="18"/>
              </w:rPr>
              <w:t>101</w:t>
            </w:r>
          </w:p>
        </w:tc>
        <w:tc>
          <w:tcPr>
            <w:tcW w:type="dxa" w:w="3120"/>
          </w:tcPr>
          <w:p>
            <w:r>
              <w:rPr>
                <w:sz w:val="18"/>
              </w:rPr>
              <w:t>83,5</w:t>
            </w:r>
          </w:p>
        </w:tc>
      </w:tr>
      <w:tr>
        <w:tc>
          <w:tcPr>
            <w:tcW w:type="dxa" w:w="3120"/>
          </w:tcPr>
          <w:p>
            <w:r>
              <w:rPr>
                <w:sz w:val="18"/>
              </w:rPr>
              <w:t>Portfólio predial</w:t>
            </w:r>
          </w:p>
        </w:tc>
        <w:tc>
          <w:tcPr>
            <w:tcW w:type="dxa" w:w="3120"/>
          </w:tcPr>
          <w:p>
            <w:r>
              <w:rPr>
                <w:sz w:val="18"/>
              </w:rPr>
              <w:t>59</w:t>
            </w:r>
          </w:p>
        </w:tc>
        <w:tc>
          <w:tcPr>
            <w:tcW w:type="dxa" w:w="3120"/>
          </w:tcPr>
          <w:p>
            <w:r>
              <w:rPr>
                <w:sz w:val="18"/>
              </w:rPr>
              <w:t>48,8</w:t>
            </w:r>
          </w:p>
        </w:tc>
      </w:tr>
      <w:tr>
        <w:tc>
          <w:tcPr>
            <w:tcW w:type="dxa" w:w="3120"/>
          </w:tcPr>
          <w:p>
            <w:r>
              <w:rPr>
                <w:sz w:val="18"/>
              </w:rPr>
              <w:t>Hospital</w:t>
            </w:r>
          </w:p>
        </w:tc>
        <w:tc>
          <w:tcPr>
            <w:tcW w:type="dxa" w:w="3120"/>
          </w:tcPr>
          <w:p>
            <w:r>
              <w:rPr>
                <w:sz w:val="18"/>
              </w:rPr>
              <w:t>17</w:t>
            </w:r>
          </w:p>
        </w:tc>
        <w:tc>
          <w:tcPr>
            <w:tcW w:type="dxa" w:w="3120"/>
          </w:tcPr>
          <w:p>
            <w:r>
              <w:rPr>
                <w:sz w:val="18"/>
              </w:rPr>
              <w:t>14,0</w:t>
            </w:r>
          </w:p>
        </w:tc>
      </w:tr>
      <w:tr>
        <w:tc>
          <w:tcPr>
            <w:tcW w:type="dxa" w:w="3120"/>
          </w:tcPr>
          <w:p>
            <w:r>
              <w:rPr>
                <w:sz w:val="18"/>
              </w:rPr>
              <w:t>Edifício comercial</w:t>
            </w:r>
          </w:p>
        </w:tc>
        <w:tc>
          <w:tcPr>
            <w:tcW w:type="dxa" w:w="3120"/>
          </w:tcPr>
          <w:p>
            <w:r>
              <w:rPr>
                <w:sz w:val="18"/>
              </w:rPr>
              <w:t>16</w:t>
            </w:r>
          </w:p>
        </w:tc>
        <w:tc>
          <w:tcPr>
            <w:tcW w:type="dxa" w:w="3120"/>
          </w:tcPr>
          <w:p>
            <w:r>
              <w:rPr>
                <w:sz w:val="18"/>
              </w:rPr>
              <w:t>13,2</w:t>
            </w:r>
          </w:p>
        </w:tc>
      </w:tr>
      <w:tr>
        <w:tc>
          <w:tcPr>
            <w:tcW w:type="dxa" w:w="3120"/>
          </w:tcPr>
          <w:p>
            <w:r>
              <w:rPr>
                <w:sz w:val="18"/>
              </w:rPr>
              <w:t>Edifício residencial</w:t>
            </w:r>
          </w:p>
        </w:tc>
        <w:tc>
          <w:tcPr>
            <w:tcW w:type="dxa" w:w="3120"/>
          </w:tcPr>
          <w:p>
            <w:r>
              <w:rPr>
                <w:sz w:val="18"/>
              </w:rPr>
              <w:t>15</w:t>
            </w:r>
          </w:p>
        </w:tc>
        <w:tc>
          <w:tcPr>
            <w:tcW w:type="dxa" w:w="3120"/>
          </w:tcPr>
          <w:p>
            <w:r>
              <w:rPr>
                <w:sz w:val="18"/>
              </w:rPr>
              <w:t>12,4</w:t>
            </w:r>
          </w:p>
        </w:tc>
      </w:tr>
      <w:tr>
        <w:tc>
          <w:tcPr>
            <w:tcW w:type="dxa" w:w="3120"/>
          </w:tcPr>
          <w:p>
            <w:r>
              <w:rPr>
                <w:sz w:val="18"/>
              </w:rPr>
              <w:t>Universidade</w:t>
            </w:r>
          </w:p>
        </w:tc>
        <w:tc>
          <w:tcPr>
            <w:tcW w:type="dxa" w:w="3120"/>
          </w:tcPr>
          <w:p>
            <w:r>
              <w:rPr>
                <w:sz w:val="18"/>
              </w:rPr>
              <w:t>14</w:t>
            </w:r>
          </w:p>
        </w:tc>
        <w:tc>
          <w:tcPr>
            <w:tcW w:type="dxa" w:w="3120"/>
          </w:tcPr>
          <w:p>
            <w:r>
              <w:rPr>
                <w:sz w:val="18"/>
              </w:rPr>
              <w:t>11,6</w:t>
            </w:r>
          </w:p>
        </w:tc>
      </w:tr>
      <w:tr>
        <w:tc>
          <w:tcPr>
            <w:tcW w:type="dxa" w:w="3120"/>
          </w:tcPr>
          <w:p>
            <w:r>
              <w:rPr>
                <w:sz w:val="18"/>
              </w:rPr>
              <w:t>Campus</w:t>
            </w:r>
          </w:p>
        </w:tc>
        <w:tc>
          <w:tcPr>
            <w:tcW w:type="dxa" w:w="3120"/>
          </w:tcPr>
          <w:p>
            <w:r>
              <w:rPr>
                <w:sz w:val="18"/>
              </w:rPr>
              <w:t>10</w:t>
            </w:r>
          </w:p>
        </w:tc>
        <w:tc>
          <w:tcPr>
            <w:tcW w:type="dxa" w:w="3120"/>
          </w:tcPr>
          <w:p>
            <w:r>
              <w:rPr>
                <w:sz w:val="18"/>
              </w:rPr>
              <w:t>8,3</w:t>
            </w:r>
          </w:p>
        </w:tc>
      </w:tr>
      <w:tr>
        <w:tc>
          <w:tcPr>
            <w:tcW w:type="dxa" w:w="3120"/>
          </w:tcPr>
          <w:p>
            <w:r>
              <w:rPr>
                <w:sz w:val="18"/>
              </w:rPr>
              <w:t>Patrimônio histórico</w:t>
            </w:r>
          </w:p>
        </w:tc>
        <w:tc>
          <w:tcPr>
            <w:tcW w:type="dxa" w:w="3120"/>
          </w:tcPr>
          <w:p>
            <w:r>
              <w:rPr>
                <w:sz w:val="18"/>
              </w:rPr>
              <w:t>6</w:t>
            </w:r>
          </w:p>
        </w:tc>
        <w:tc>
          <w:tcPr>
            <w:tcW w:type="dxa" w:w="3120"/>
          </w:tcPr>
          <w:p>
            <w:r>
              <w:rPr>
                <w:sz w:val="18"/>
              </w:rPr>
              <w:t>5,0</w:t>
            </w:r>
          </w:p>
        </w:tc>
      </w:tr>
      <w:tr>
        <w:tc>
          <w:tcPr>
            <w:tcW w:type="dxa" w:w="3120"/>
          </w:tcPr>
          <w:p>
            <w:r>
              <w:rPr>
                <w:sz w:val="18"/>
              </w:rPr>
              <w:t>Edifício público</w:t>
            </w:r>
          </w:p>
        </w:tc>
        <w:tc>
          <w:tcPr>
            <w:tcW w:type="dxa" w:w="3120"/>
          </w:tcPr>
          <w:p>
            <w:r>
              <w:rPr>
                <w:sz w:val="18"/>
              </w:rPr>
              <w:t>5</w:t>
            </w:r>
          </w:p>
        </w:tc>
        <w:tc>
          <w:tcPr>
            <w:tcW w:type="dxa" w:w="3120"/>
          </w:tcPr>
          <w:p>
            <w:r>
              <w:rPr>
                <w:sz w:val="18"/>
              </w:rPr>
              <w:t>4,1</w:t>
            </w:r>
          </w:p>
        </w:tc>
      </w:tr>
      <w:tr>
        <w:tc>
          <w:tcPr>
            <w:tcW w:type="dxa" w:w="3120"/>
          </w:tcPr>
          <w:p>
            <w:r>
              <w:rPr>
                <w:sz w:val="18"/>
              </w:rPr>
              <w:t>Escola</w:t>
            </w:r>
          </w:p>
        </w:tc>
        <w:tc>
          <w:tcPr>
            <w:tcW w:type="dxa" w:w="3120"/>
          </w:tcPr>
          <w:p>
            <w:r>
              <w:rPr>
                <w:sz w:val="18"/>
              </w:rPr>
              <w:t>5</w:t>
            </w:r>
          </w:p>
        </w:tc>
        <w:tc>
          <w:tcPr>
            <w:tcW w:type="dxa" w:w="3120"/>
          </w:tcPr>
          <w:p>
            <w:r>
              <w:rPr>
                <w:sz w:val="18"/>
              </w:rPr>
              <w:t>4,1</w:t>
            </w:r>
          </w:p>
        </w:tc>
      </w:tr>
      <w:tr>
        <w:tc>
          <w:tcPr>
            <w:tcW w:type="dxa" w:w="3120"/>
          </w:tcPr>
          <w:p>
            <w:r>
              <w:rPr>
                <w:sz w:val="18"/>
              </w:rPr>
              <w:t>Museu</w:t>
            </w:r>
          </w:p>
        </w:tc>
        <w:tc>
          <w:tcPr>
            <w:tcW w:type="dxa" w:w="3120"/>
          </w:tcPr>
          <w:p>
            <w:r>
              <w:rPr>
                <w:sz w:val="18"/>
              </w:rPr>
              <w:t>1</w:t>
            </w:r>
          </w:p>
        </w:tc>
        <w:tc>
          <w:tcPr>
            <w:tcW w:type="dxa" w:w="3120"/>
          </w:tcPr>
          <w:p>
            <w:r>
              <w:rPr>
                <w:sz w:val="18"/>
              </w:rPr>
              <w:t>0,8</w:t>
            </w:r>
          </w:p>
        </w:tc>
      </w:tr>
      <w:tr>
        <w:tc>
          <w:tcPr>
            <w:tcW w:type="dxa" w:w="3120"/>
          </w:tcPr>
          <w:p>
            <w:r>
              <w:rPr>
                <w:sz w:val="18"/>
              </w:rPr>
              <w:t>Não identificado no resumo</w:t>
            </w:r>
          </w:p>
        </w:tc>
        <w:tc>
          <w:tcPr>
            <w:tcW w:type="dxa" w:w="3120"/>
          </w:tcPr>
          <w:p>
            <w:r>
              <w:rPr>
                <w:sz w:val="18"/>
              </w:rPr>
              <w:t>1</w:t>
            </w:r>
          </w:p>
        </w:tc>
        <w:tc>
          <w:tcPr>
            <w:tcW w:type="dxa" w:w="3120"/>
          </w:tcPr>
          <w:p>
            <w:r>
              <w:rPr>
                <w:sz w:val="18"/>
              </w:rPr>
              <w:t>0,8</w:t>
            </w:r>
          </w:p>
        </w:tc>
      </w:tr>
    </w:tbl>
    <w:p/>
    <w:p>
      <w:pPr>
        <w:pStyle w:val="BodyText"/>
      </w:pPr>
      <w: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w:t>
      </w:r>
      <w:r>
        <w:t xml:space="preserve"> </w:t>
      </w:r>
      <w:r>
        <w:t xml:space="preserve">(Lateef, Khamidi, and Idrus 2010; Barbosa et al. 2020)</w:t>
      </w:r>
      <w:r>
        <w:t xml:space="preserve">.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Em resposta à RQ5, a baixa frequência de universidade,</w:t>
      </w:r>
      <w:r>
        <w:t xml:space="preserve"> </w:t>
      </w:r>
      <w:r>
        <w:rPr>
          <w:iCs/>
          <w:i/>
        </w:rPr>
        <w:t xml:space="preserve">campus</w:t>
      </w:r>
      <w:r>
        <w:t xml:space="preserve"> </w:t>
      </w:r>
      <w:r>
        <w:t xml:space="preserve">e edifício público limita a evidência diretamente transferível a portfólios heterogêneos, com restrições orçamentárias, continuidade acadêmica e múltiplos usuários. A busca de sensibilidade para inteligência artificial (Seção </w:t>
      </w:r>
      <w:hyperlink w:anchor="sec:buscaia">
        <w:r>
          <w:rPr>
            <w:rStyle w:val="Hyperlink"/>
          </w:rPr>
          <w:t xml:space="preserve">3.4</w:t>
        </w:r>
      </w:hyperlink>
      <w:r>
        <w:t xml:space="preserve">) elevou o contexto universitário de 11 para 14 registros, sem alterar essa conclusão: os três estudos promovidos ao núcleo vêm do mesmo campus universitário taiwanês (</w:t>
      </w:r>
      <w:r>
        <w:rPr>
          <w:iCs/>
          <w:i/>
        </w:rPr>
        <w:t xml:space="preserve">National Taiwan University</w:t>
      </w:r>
      <w:r>
        <w:t xml:space="preserve">), representando concentração em uma única instituição, não diversificação do contexto universitário.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90 registros; informação e dados têm 75 coocorrências com</w:t>
      </w:r>
      <w:r>
        <w:t xml:space="preserve"> </w:t>
      </w:r>
      <w:r>
        <w:rPr>
          <w:iCs/>
          <w:i/>
        </w:rPr>
        <w:t xml:space="preserve">framework</w:t>
      </w:r>
      <w:r>
        <w:t xml:space="preserve"> </w:t>
      </w:r>
      <w:r>
        <w:t xml:space="preserve">e 28 com BIM; custo e</w:t>
      </w:r>
      <w:r>
        <w:t xml:space="preserve"> </w:t>
      </w:r>
      <w:r>
        <w:rPr>
          <w:iCs/>
          <w:i/>
        </w:rPr>
        <w:t xml:space="preserve">framework</w:t>
      </w:r>
      <w:r>
        <w:t xml:space="preserve"> </w:t>
      </w:r>
      <w:r>
        <w:t xml:space="preserve">aparecem em 57; e vida útil e custo do ciclo de vida, em 16.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ampliado_121.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100 coocorrências com</w:t>
      </w:r>
      <w:r>
        <w:t xml:space="preserve"> </w:t>
      </w:r>
      <w:r>
        <w:rPr>
          <w:iCs/>
          <w:i/>
        </w:rPr>
        <w:t xml:space="preserve">framework</w:t>
      </w:r>
      <w:r>
        <w:t xml:space="preserve">, 28 com</w:t>
      </w:r>
      <w:r>
        <w:t xml:space="preserve"> </w:t>
      </w:r>
      <w:r>
        <w:rPr>
          <w:iCs/>
          <w:i/>
        </w:rPr>
        <w:t xml:space="preserve">decision support</w:t>
      </w:r>
      <w:r>
        <w:t xml:space="preserve"> </w:t>
      </w:r>
      <w:r>
        <w:t xml:space="preserve">e 28 com BIM; a institucional tem 88 com</w:t>
      </w:r>
      <w:r>
        <w:t xml:space="preserve"> </w:t>
      </w:r>
      <w:r>
        <w:rPr>
          <w:iCs/>
          <w:i/>
        </w:rPr>
        <w:t xml:space="preserve">framework</w:t>
      </w:r>
      <w:r>
        <w:t xml:space="preserve">, seguida da ambiental com 81, da econômica com 56 e da social com 54. A dimensão ciclo de vida, identificada em 65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ampliado_121.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10</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11</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99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82 registros; BIM em 28 e digital twin em 11;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34, vida útil em 44 e ciclo de vida em 65; manutenibilidade apoiada por Othman and Kamal (2023).</w:t>
            </w:r>
          </w:p>
        </w:tc>
      </w:tr>
      <w:tr>
        <w:tc>
          <w:tcPr>
            <w:tcW w:type="dxa" w:w="4680"/>
          </w:tcPr>
          <w:p>
            <w:r>
              <w:rPr>
                <w:sz w:val="18"/>
              </w:rPr>
              <w:t>Institucional: conformidade</w:t>
            </w:r>
          </w:p>
        </w:tc>
        <w:tc>
          <w:tcPr>
            <w:tcW w:type="dxa" w:w="4680"/>
          </w:tcPr>
          <w:p>
            <w:r>
              <w:rPr>
                <w:sz w:val="18"/>
              </w:rPr>
              <w:t>Dimensão institucional em 97 registros; adaptação contextual necessária em Talib, Rajagopalan, and Yang (2013).</w:t>
            </w:r>
          </w:p>
        </w:tc>
      </w:tr>
      <w:tr>
        <w:tc>
          <w:tcPr>
            <w:tcW w:type="dxa" w:w="4680"/>
          </w:tcPr>
          <w:p>
            <w:r>
              <w:rPr>
                <w:sz w:val="18"/>
              </w:rPr>
              <w:t>Econômica: custo</w:t>
            </w:r>
          </w:p>
        </w:tc>
        <w:tc>
          <w:tcPr>
            <w:tcW w:type="dxa" w:w="4680"/>
          </w:tcPr>
          <w:p>
            <w:r>
              <w:rPr>
                <w:sz w:val="18"/>
              </w:rPr>
              <w:t>Custo em 63 registros; previsão e ciclo de vida em Kim et al. (2018; Nägeli et al. 2019).</w:t>
            </w:r>
          </w:p>
        </w:tc>
      </w:tr>
      <w:tr>
        <w:tc>
          <w:tcPr>
            <w:tcW w:type="dxa" w:w="4680"/>
          </w:tcPr>
          <w:p>
            <w:r>
              <w:rPr>
                <w:sz w:val="18"/>
              </w:rPr>
              <w:t>Ambiental: energia</w:t>
            </w:r>
          </w:p>
        </w:tc>
        <w:tc>
          <w:tcPr>
            <w:tcW w:type="dxa" w:w="4680"/>
          </w:tcPr>
          <w:p>
            <w:r>
              <w:rPr>
                <w:sz w:val="18"/>
              </w:rPr>
              <w:t>Dimensão ambiental em 92 e energia em 44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59; conforto em 22, segurança em 18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Critério</w:t>
            </w:r>
          </w:p>
        </w:tc>
        <w:tc>
          <w:tcPr>
            <w:tcW w:type="dxa" w:w="2340"/>
          </w:tcPr>
          <w:p>
            <w:r>
              <w:rPr>
                <w:b/>
                <w:sz w:val="18"/>
              </w:rPr>
              <w:t>Indicador candidato</w:t>
            </w:r>
          </w:p>
        </w:tc>
        <w:tc>
          <w:tcPr>
            <w:tcW w:type="dxa" w:w="2340"/>
          </w:tcPr>
          <w:p>
            <w:r>
              <w:rPr>
                <w:b/>
                <w:sz w:val="18"/>
              </w:rPr>
              <w:t>Fonte</w:t>
            </w:r>
          </w:p>
        </w:tc>
        <w:tc>
          <w:tcPr>
            <w:tcW w:type="dxa" w:w="2340"/>
          </w:tcPr>
          <w:p>
            <w:r>
              <w:rPr>
                <w:b/>
                <w:sz w:val="18"/>
              </w:rPr>
              <w:t>Periodicidade; preferência</w:t>
            </w:r>
          </w:p>
        </w:tc>
      </w:tr>
      <w:tr>
        <w:tc>
          <w:tcPr>
            <w:tcW w:type="dxa" w:w="2340"/>
          </w:tcPr>
          <w:p>
            <w:r>
              <w:rPr>
                <w:sz w:val="18"/>
              </w:rPr>
              <w:t>Desempenho e falha</w:t>
            </w:r>
          </w:p>
        </w:tc>
        <w:tc>
          <w:tcPr>
            <w:tcW w:type="dxa" w:w="2340"/>
          </w:tcPr>
          <w:p>
            <w:r>
              <w:rPr>
                <w:sz w:val="18"/>
              </w:rPr>
              <w:t>Ordens recorrentes por sistema, % das ordens</w:t>
            </w:r>
          </w:p>
        </w:tc>
        <w:tc>
          <w:tcPr>
            <w:tcW w:type="dxa" w:w="2340"/>
          </w:tcPr>
          <w:p>
            <w:r>
              <w:rPr>
                <w:sz w:val="18"/>
              </w:rPr>
              <w:t>Ordens de serviço</w:t>
            </w:r>
          </w:p>
        </w:tc>
        <w:tc>
          <w:tcPr>
            <w:tcW w:type="dxa" w:w="2340"/>
          </w:tcPr>
          <w:p>
            <w:r>
              <w:rPr>
                <w:sz w:val="18"/>
              </w:rPr>
              <w:t>Mensal; menor</w:t>
            </w:r>
          </w:p>
        </w:tc>
      </w:tr>
      <w:tr>
        <w:tc>
          <w:tcPr>
            <w:tcW w:type="dxa" w:w="2340"/>
          </w:tcPr>
          <w:p>
            <w:r>
              <w:rPr>
                <w:sz w:val="18"/>
              </w:rPr>
              <w:t>Informação e dados</w:t>
            </w:r>
          </w:p>
        </w:tc>
        <w:tc>
          <w:tcPr>
            <w:tcW w:type="dxa" w:w="2340"/>
          </w:tcPr>
          <w:p>
            <w:r>
              <w:rPr>
                <w:sz w:val="18"/>
              </w:rPr>
              <w:t>Ativos com cadastro e histórico completos, %</w:t>
            </w:r>
          </w:p>
        </w:tc>
        <w:tc>
          <w:tcPr>
            <w:tcW w:type="dxa" w:w="2340"/>
          </w:tcPr>
          <w:p>
            <w:r>
              <w:rPr>
                <w:sz w:val="18"/>
              </w:rPr>
              <w:t>Cadastro e ordens</w:t>
            </w:r>
          </w:p>
        </w:tc>
        <w:tc>
          <w:tcPr>
            <w:tcW w:type="dxa" w:w="2340"/>
          </w:tcPr>
          <w:p>
            <w:r>
              <w:rPr>
                <w:sz w:val="18"/>
              </w:rPr>
              <w:t>Trimestral; maior</w:t>
            </w:r>
          </w:p>
        </w:tc>
      </w:tr>
      <w:tr>
        <w:tc>
          <w:tcPr>
            <w:tcW w:type="dxa" w:w="2340"/>
          </w:tcPr>
          <w:p>
            <w:r>
              <w:rPr>
                <w:sz w:val="18"/>
              </w:rPr>
              <w:t>Condição e vida útil</w:t>
            </w:r>
          </w:p>
        </w:tc>
        <w:tc>
          <w:tcPr>
            <w:tcW w:type="dxa" w:w="2340"/>
          </w:tcPr>
          <w:p>
            <w:r>
              <w:rPr>
                <w:sz w:val="18"/>
              </w:rPr>
              <w:t>Índice de condição, escala institucional</w:t>
            </w:r>
          </w:p>
        </w:tc>
        <w:tc>
          <w:tcPr>
            <w:tcW w:type="dxa" w:w="2340"/>
          </w:tcPr>
          <w:p>
            <w:r>
              <w:rPr>
                <w:sz w:val="18"/>
              </w:rPr>
              <w:t>Inspeção e cadastro</w:t>
            </w:r>
          </w:p>
        </w:tc>
        <w:tc>
          <w:tcPr>
            <w:tcW w:type="dxa" w:w="2340"/>
          </w:tcPr>
          <w:p>
            <w:r>
              <w:rPr>
                <w:sz w:val="18"/>
              </w:rPr>
              <w:t>Semestral; maior</w:t>
            </w:r>
          </w:p>
        </w:tc>
      </w:tr>
      <w:tr>
        <w:tc>
          <w:tcPr>
            <w:tcW w:type="dxa" w:w="2340"/>
          </w:tcPr>
          <w:p>
            <w:r>
              <w:rPr>
                <w:sz w:val="18"/>
              </w:rPr>
              <w:t>Conformidade</w:t>
            </w:r>
          </w:p>
        </w:tc>
        <w:tc>
          <w:tcPr>
            <w:tcW w:type="dxa" w:w="2340"/>
          </w:tcPr>
          <w:p>
            <w:r>
              <w:rPr>
                <w:sz w:val="18"/>
              </w:rPr>
              <w:t>Requisitos atendidos, %</w:t>
            </w:r>
          </w:p>
        </w:tc>
        <w:tc>
          <w:tcPr>
            <w:tcW w:type="dxa" w:w="2340"/>
          </w:tcPr>
          <w:p>
            <w:r>
              <w:rPr>
                <w:sz w:val="18"/>
              </w:rPr>
              <w:t>Laudos e auditorias</w:t>
            </w:r>
          </w:p>
        </w:tc>
        <w:tc>
          <w:tcPr>
            <w:tcW w:type="dxa" w:w="2340"/>
          </w:tcPr>
          <w:p>
            <w:r>
              <w:rPr>
                <w:sz w:val="18"/>
              </w:rPr>
              <w:t>Anual; maior</w:t>
            </w:r>
          </w:p>
        </w:tc>
      </w:tr>
      <w:tr>
        <w:tc>
          <w:tcPr>
            <w:tcW w:type="dxa" w:w="2340"/>
          </w:tcPr>
          <w:p>
            <w:r>
              <w:rPr>
                <w:sz w:val="18"/>
              </w:rPr>
              <w:t>Custo</w:t>
            </w:r>
          </w:p>
        </w:tc>
        <w:tc>
          <w:tcPr>
            <w:tcW w:type="dxa" w:w="2340"/>
          </w:tcPr>
          <w:p>
            <w:r>
              <w:rPr>
                <w:sz w:val="18"/>
              </w:rPr>
              <w:t>Custo estimado por área, R$/m</w:t>
            </w:r>
          </w:p>
        </w:tc>
        <w:tc>
          <w:tcPr>
            <w:tcW w:type="dxa" w:w="2340"/>
          </w:tcPr>
          <w:p>
            <w:r>
              <w:rPr>
                <w:sz w:val="18"/>
              </w:rPr>
              <w:t>Orçamentos e SINAPI</w:t>
            </w:r>
          </w:p>
        </w:tc>
        <w:tc>
          <w:tcPr>
            <w:tcW w:type="dxa" w:w="2340"/>
          </w:tcPr>
          <w:p>
            <w:r>
              <w:rPr>
                <w:sz w:val="18"/>
              </w:rPr>
              <w:t>Semestral; menor</w:t>
            </w:r>
          </w:p>
        </w:tc>
      </w:tr>
      <w:tr>
        <w:tc>
          <w:tcPr>
            <w:tcW w:type="dxa" w:w="2340"/>
          </w:tcPr>
          <w:p>
            <w:r>
              <w:rPr>
                <w:sz w:val="18"/>
              </w:rPr>
              <w:t>Energia</w:t>
            </w:r>
          </w:p>
        </w:tc>
        <w:tc>
          <w:tcPr>
            <w:tcW w:type="dxa" w:w="2340"/>
          </w:tcPr>
          <w:p>
            <w:r>
              <w:rPr>
                <w:sz w:val="18"/>
              </w:rPr>
              <w:t>Consumo anual por área, kWh/m/ano</w:t>
            </w:r>
          </w:p>
        </w:tc>
        <w:tc>
          <w:tcPr>
            <w:tcW w:type="dxa" w:w="2340"/>
          </w:tcPr>
          <w:p>
            <w:r>
              <w:rPr>
                <w:sz w:val="18"/>
              </w:rPr>
              <w:t>Faturas ou medidores</w:t>
            </w:r>
          </w:p>
        </w:tc>
        <w:tc>
          <w:tcPr>
            <w:tcW w:type="dxa" w:w="2340"/>
          </w:tcPr>
          <w:p>
            <w:r>
              <w:rPr>
                <w:sz w:val="18"/>
              </w:rPr>
              <w:t>Mensal; menor</w:t>
            </w:r>
          </w:p>
        </w:tc>
      </w:tr>
      <w:tr>
        <w:tc>
          <w:tcPr>
            <w:tcW w:type="dxa" w:w="2340"/>
          </w:tcPr>
          <w:p>
            <w:r>
              <w:rPr>
                <w:sz w:val="18"/>
              </w:rPr>
              <w:t>Impacto nos usuários</w:t>
            </w:r>
          </w:p>
        </w:tc>
        <w:tc>
          <w:tcPr>
            <w:tcW w:type="dxa" w:w="2340"/>
          </w:tcPr>
          <w:p>
            <w:r>
              <w:rPr>
                <w:sz w:val="18"/>
              </w:rPr>
              <w:t>Reclamações por 100 usuários</w:t>
            </w:r>
          </w:p>
        </w:tc>
        <w:tc>
          <w:tcPr>
            <w:tcW w:type="dxa" w:w="2340"/>
          </w:tcPr>
          <w:p>
            <w:r>
              <w:rPr>
                <w:sz w:val="18"/>
              </w:rPr>
              <w:t>Ouvidoria e chamados</w:t>
            </w:r>
          </w:p>
        </w:tc>
        <w:tc>
          <w:tcPr>
            <w:tcW w:type="dxa" w:w="2340"/>
          </w:tcPr>
          <w:p>
            <w:r>
              <w:rPr>
                <w:sz w:val="18"/>
              </w:rPr>
              <w:t>Trimestral; 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jc w:val="center"/>
      </w:pPr>
      <w:r>
        <w:drawing>
          <wp:inline>
            <wp:extent cx="5669280" cy="1970982"/>
            <wp:docPr id="60" name="Picture 60"/>
            <wp:cNvGraphicFramePr>
              <a:graphicFrameLocks noChangeAspect="1"/>
            </wp:cNvGraphicFramePr>
            <a:graphic>
              <a:graphicData uri="http://schemas.openxmlformats.org/drawingml/2006/picture">
                <pic:pic>
                  <pic:nvPicPr>
                    <pic:cNvPr id="0" name="figura_tikz_2.png"/>
                    <pic:cNvPicPr/>
                  </pic:nvPicPr>
                  <pic:blipFill>
                    <a:blip r:embed="rId10"/>
                    <a:stretch>
                      <a:fillRect/>
                    </a:stretch>
                  </pic:blipFill>
                  <pic:spPr>
                    <a:xfrm>
                      <a:off x="0" y="0"/>
                      <a:ext cx="5669280" cy="1970982"/>
                    </a:xfrm>
                    <a:prstGeom prst="rect"/>
                  </pic:spPr>
                </pic:pic>
              </a:graphicData>
            </a:graphic>
          </wp:inline>
        </w:drawing>
      </w:r>
    </w:p>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conforme a função observada desses métodos em aplicações prediais</w:t>
      </w:r>
      <w:r>
        <w:t xml:space="preserve"> </w:t>
      </w:r>
      <w:r>
        <w:t xml:space="preserve">(Alfalah et al. 2022; Naji, Gunduz, and Maki 2023; Masmoudi et al. 2026)</w:t>
      </w:r>
      <w:r>
        <w:t xml:space="preserve">.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w:t>
      </w:r>
      <w:r>
        <w:t xml:space="preserve"> </w:t>
      </w:r>
      <w:r>
        <w:t xml:space="preserve">(Associação Brasileira de Normas Técnicas 2012; Araújo Neto 2015)</w:t>
      </w:r>
      <w:r>
        <w:t xml:space="preserve">. O ciclo de vida permanece transversal para evitar dupla contagem.</w:t>
      </w:r>
    </w:p>
    <w:p>
      <w:pPr>
        <w:pStyle w:val="BodyText"/>
      </w:pPr>
      <w:r>
        <w:t xml:space="preserve">Em nível arquitetural, a matriz completa a resposta à RQ0 ao converter dimensões e critérios recorrentes em indicadores candidatos, fontes, periodicidade, direção de preferência e salvaguardas. Ela não é um modelo validado nem um instrumento pronto para decisão; indicadores, pesos, limiares e regras requerem participação institucional e teste com dados reais.</w:t>
      </w:r>
    </w:p>
    <w:bookmarkEnd w:id="59"/>
    <w:bookmarkStart w:id="64" w:name="sec:discussa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83,5%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 síntese das leituras integrais na Seção </w:t>
      </w:r>
      <w:hyperlink w:anchor="sec:metodos">
        <w:r>
          <w:rPr>
            <w:rStyle w:val="Hyperlink"/>
          </w:rPr>
          <w:t xml:space="preserve">7</w:t>
        </w:r>
      </w:hyperlink>
      <w:r>
        <w:t xml:space="preserve"> </w:t>
      </w:r>
      <w:r>
        <w:t xml:space="preserve">mostra que essa conexão abrange integração de dados, previsão, simulação e estruturação decisória parcial. O campo avança em capacidade informacional, mas permanece heterogêneo em maturidade e validação.</w:t>
      </w:r>
    </w:p>
    <w:p>
      <w:pPr>
        <w:pStyle w:val="BodyText"/>
      </w:pPr>
      <w:r>
        <w:t xml:space="preserve">A busca de sensibilidade para inteligência artificial e aprendizado de máquina (Seção </w:t>
      </w:r>
      <w:hyperlink w:anchor="sec:buscaia">
        <w:r>
          <w:rPr>
            <w:rStyle w:val="Hyperlink"/>
          </w:rPr>
          <w:t xml:space="preserve">3.4</w:t>
        </w:r>
      </w:hyperlink>
      <w:r>
        <w:t xml:space="preserve">) reforça essa leitura em vez de contradizê-la. Inteligência artificial não é sinônimo de manutenção preditiva: entre os 4.889 registros auditados na busca de sensibilidade, 127 mencionavam manutenção preditiva sem nenhuma técnica de aprendizado de máquina explicitamente aplicada, e foram deliberadamente mantidos fora do núcleo por esse motivo, mesmo quando o termo lexical estava presente. Do mesmo modo, BIM,</w:t>
      </w:r>
      <w:r>
        <w:t xml:space="preserve"> </w:t>
      </w:r>
      <w:r>
        <w:rPr>
          <w:iCs/>
          <w:i/>
        </w:rPr>
        <w:t xml:space="preserve">digital twin</w:t>
      </w:r>
      <w:r>
        <w:t xml:space="preserve"> </w:t>
      </w:r>
      <w:r>
        <w:t xml:space="preserve">e IoT não foram tratados como prova automática de IA, apenas como termos ambíguos que exigem confirmação de técnica computacional efetivamente treinada ou aplicada. O aprendizado de máquina integra-se, portanto, à mesma corrente informacional e digital já identificada para BIM e</w:t>
      </w:r>
      <w:r>
        <w:t xml:space="preserve"> </w:t>
      </w:r>
      <w:r>
        <w:rPr>
          <w:iCs/>
          <w:i/>
        </w:rPr>
        <w:t xml:space="preserve">digital twin</w:t>
      </w:r>
      <w:r>
        <w:t xml:space="preserve"> </w:t>
      </w:r>
      <w:r>
        <w:t xml:space="preserve">na Seção </w:t>
      </w:r>
      <w:hyperlink w:anchor="sec:metodos">
        <w:r>
          <w:rPr>
            <w:rStyle w:val="Hyperlink"/>
          </w:rPr>
          <w:t xml:space="preserve">7</w:t>
        </w:r>
      </w:hyperlink>
      <w:r>
        <w:t xml:space="preserve">, sem constituir categoria separada de maturidade: presença documental de um termo de IA no título ou resumo não equivale a adoção institucional, validação de desempenho ou substituição de métodos multicritério já consolidados.</w:t>
      </w:r>
    </w:p>
    <w:p>
      <w:pPr>
        <w:pStyle w:val="BodyText"/>
      </w:pPr>
      <w:r>
        <w:t xml:space="preserve">Sete registros do núcleo original, previamente classificados como secundários ou excluídos, foram reavaliados sob esse critério porque o dicionário de perguntas de pesquisa vigente até então (RQ0 a RQ5) não continha termos dedicados a IA e aprendizado de máquina; cinco foram promovidos ao núcleo principal por evidenciarem técnica computacional efetivamente aplicada, não por reinterpretação do conteúdo original dos estudos.</w:t>
      </w:r>
    </w:p>
    <w:p>
      <w:pPr>
        <w:pStyle w:val="BodyText"/>
      </w:pPr>
      <w:r>
        <w:t xml:space="preserve">A leitura comparativa detalhada na Seção </w:t>
      </w:r>
      <w:hyperlink w:anchor="sec:metodos">
        <w:r>
          <w:rPr>
            <w:rStyle w:val="Hyperlink"/>
          </w:rPr>
          <w:t xml:space="preserve">7</w:t>
        </w:r>
      </w:hyperlink>
      <w:r>
        <w:t xml:space="preserve"> </w:t>
      </w:r>
      <w:r>
        <w:t xml:space="preserve">também desloca a discussão de uma oposição simplista entre métodos tradicionais e IA. Os estudos mostram que técnicas treinadas podem produzir estimativas úteis à gestão, mas também registram fragmentação temática e barreiras de interoperabilidade, privacidade, governança de dados e representatividade geográfica. Portanto, acurácia preditiva e legitimidade decisória pertencem a níveis distintos. Para uma universidade pública, mesmo um modelo tecnicamente adequado precisa explicitar origem e atualidade dos dados, domínio de validade, tratamento de erro e dados ausentes, responsável pela decisão e possibilidade de contestação.</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 ausência de critérios, mas a falta de uma cadeia documentada entre evidência, variável mensurável, preferência institucional e decisão validada. Esse resultado responde à RQ0 ao indicar que a literatura fornece componentes para o protocolo, mas não um modelo diretamente transferível à gestão universitária pública.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Como proposição deste artigo, o protocolo procura reduzir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arquitetura auditável para validação, não uma prioridade pronta.</w:t>
      </w:r>
    </w:p>
    <w:p>
      <w:pPr>
        <w:pStyle w:val="BodyText"/>
      </w:pPr>
      <w:r>
        <w:t xml:space="preserve">Como agenda de validação derivada da síntese, recomenda-se validar o conteúdo antes dos pesos, integrar dados administrativos, elicitar preferências com participação institucional, testar sensibilidade e comparar resultados entre unidades. Essa sequência delimita como a arquitetura proposta poderá ser testada sem lhe atribuir validade ainda não demonstrada.</w:t>
      </w:r>
    </w:p>
    <w:bookmarkEnd w:id="63"/>
    <w:bookmarkEnd w:id="64"/>
    <w:bookmarkStart w:id="65"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pPr>
      <w:r>
        <w:rPr>
          <w:bCs/>
          <w:b/>
        </w:rPr>
        <w:t xml:space="preserve">Extração e força de evidência.</w:t>
      </w:r>
      <w:r>
        <w:t xml:space="preserve"> </w:t>
      </w:r>
      <w:r>
        <w:t xml:space="preserve">O núcleo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pPr>
      <w:r>
        <w:rPr>
          <w:bCs/>
          <w:b/>
        </w:rPr>
        <w:t xml:space="preserve">Busca de sensibilidade para IA.</w:t>
      </w:r>
      <w:r>
        <w:t xml:space="preserve"> </w:t>
      </w:r>
      <w:r>
        <w:t xml:space="preserve">Os 4.889 registros foram classificados por correspondência de termos ao dicionário RQ6; somente os 20 candidatos ao núcleo tiveram título e resumo revisados individualmente. No Crossref, 24,9% possuíam resumo, ante 100% na Scopus e na Web of Science, e nenhum registro incorporado teve origem exclusiva nessa fonte. A rodada permaneceu restrita às mesmas três fontes, sem literatura cinzenta ou base especializada em ciência da computação. Na Web of Science, a busca foi executada em All Databases, embora os registros exportados apresentem indexação na Web of Science Core Collection. As strings, os campos, a data, o período e a ausência de filtros adicionais foram documentados retrospectivamente a partir do registro fornecido pelo pesquisador; não há captura de tela ou histórico contemporâneo da interface anexado ao repositório. Por ter sido deliberadamente enriquecido com termos de inteligência artificial e aprendizado de máquina, o aumento de nove para 26 registros mede o efeito da sensibilidade, não a prevalência dessas técnicas no campo.</w:t>
      </w:r>
    </w:p>
    <w:p>
      <w:pPr>
        <w:pStyle w:val="BodyText"/>
      </w:pPr>
      <w:r>
        <w:rPr>
          <w:bCs/>
          <w:b/>
        </w:rPr>
        <w:t xml:space="preserve">Protocolo.</w:t>
      </w:r>
      <w:r>
        <w:t xml:space="preserve"> </w:t>
      </w:r>
      <w:r>
        <w:t xml:space="preserve">Indicadores e regras constituem especificação candidata. Pesos, limiares, agregação e sensibilidade ainda dependem de validação de conteúdo, participação institucional, dados reais e teste de robustez.</w:t>
      </w:r>
    </w:p>
    <w:bookmarkEnd w:id="65"/>
    <w:bookmarkStart w:id="150"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manutenção preditiva e, de forma ainda emergente conforme a busca complementar de sensibilidade (Seção </w:t>
      </w:r>
      <w:hyperlink w:anchor="sec:buscaia">
        <w:r>
          <w:rPr>
            <w:rStyle w:val="Hyperlink"/>
          </w:rPr>
          <w:t xml:space="preserve">3.4</w:t>
        </w:r>
      </w:hyperlink>
      <w:r>
        <w:t xml:space="preserve">), aprendizado de máquina. A síntese temática mostrou que dimensões técnica-operacional, institucional e ambiental e critérios de desempenho, informação, custo, vida útil, energia e risco formam o núcleo documental, agora com 121 registros.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aprendizado de máquina, tema da busca de sensibilidade, cresceu de nove para 26 registros, mas sua presença documental não substitui validação de desempenho nem indica maturidade institucional de adoção. Em resposta à RQ6,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se validado institucionalmente, poderá oferecer um caminho transparente para justificar sua aplicação e tornar a priorização da manutenção um ato de governança auditável.</w:t>
      </w:r>
    </w:p>
    <w:p>
      <w:pPr>
        <w:pStyle w:val="BodyText"/>
      </w:pPr>
      <w:r>
        <w:t xml:space="preserve">Como proposição dos autores, a validação futura pode ser organizada em quatro etapas sequenciais, sem que os intervalos de duração sejam definidos antes do diagnóstico institucional:</w:t>
      </w:r>
    </w:p>
    <w:p>
      <w:pPr>
        <w:numPr>
          <w:ilvl w:val="0"/>
          <w:numId w:val="1001"/>
        </w:numPr>
      </w:pPr>
      <w:r>
        <w:rPr>
          <w:bCs/>
          <w:b/>
        </w:rPr>
        <w:t xml:space="preserve">Validação de conteúdo:</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w:t>
      </w:r>
      <w:r>
        <w:t xml:space="preserve"> </w:t>
      </w:r>
      <w:r>
        <w:t xml:space="preserve">comparação entre unidades, estabilidade, utilidade decisória e transferência a outros portfólios públicos.</w:t>
      </w:r>
    </w:p>
    <w:p>
      <w:pPr>
        <w:pStyle w:val="FirstParagraph"/>
      </w:pPr>
      <w:r>
        <w:t xml:space="preserve">Até a validação empírica e institucional, a contribuição permanece uma base reproduzível e operacionalmente especificada para teste, não uma classificação pronta para orientar investimentos.</w:t>
      </w:r>
    </w:p>
    <w:bookmarkStart w:id="149" w:name="refs"/>
    <w:bookmarkStart w:id="67"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ci_iotambientes_2026"/>
    <w:p>
      <w:pPr>
        <w:pStyle w:val="Bibliography"/>
      </w:pPr>
      <w:r>
        <w:t xml:space="preserve">Alici, Nedim. 2026.</w:t>
      </w:r>
      <w:r>
        <w:t xml:space="preserve"> </w:t>
      </w:r>
      <w:r>
        <w:t xml:space="preserve">“IoT-Enabled Indoor Environments in Smart Cities: A Systematic Review on Energy Efficiency, User Comfort, and Environmental Sustainability.”</w:t>
      </w:r>
      <w:r>
        <w:t xml:space="preserve"> </w:t>
      </w:r>
      <w:r>
        <w:rPr>
          <w:iCs/>
          <w:i/>
        </w:rPr>
        <w:t xml:space="preserve">Frontiers in Sustainability</w:t>
      </w:r>
      <w:r>
        <w:t xml:space="preserve"> </w:t>
      </w:r>
      <w:r>
        <w:t xml:space="preserve">7: 1751337.</w:t>
      </w:r>
      <w:r>
        <w:t xml:space="preserve"> </w:t>
      </w:r>
      <w:hyperlink r:id="rId70">
        <w:r>
          <w:rPr>
            <w:rStyle w:val="Hyperlink"/>
          </w:rPr>
          <w:t xml:space="preserve">https://doi.org/10.3389/frsus.2026.1751337</w:t>
        </w:r>
      </w:hyperlink>
      <w:r>
        <w:t xml:space="preserve">.</w:t>
      </w:r>
    </w:p>
    <w:bookmarkEnd w:id="71"/>
    <w:bookmarkStart w:id="73"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2">
        <w:r>
          <w:rPr>
            <w:rStyle w:val="Hyperlink"/>
          </w:rPr>
          <w:t xml:space="preserve">https://doi.org/10.21315/jcdc.2025.30.2.6</w:t>
        </w:r>
      </w:hyperlink>
      <w:r>
        <w:t xml:space="preserve">.</w:t>
      </w:r>
    </w:p>
    <w:bookmarkEnd w:id="73"/>
    <w:bookmarkStart w:id="75"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4">
        <w:r>
          <w:rPr>
            <w:rStyle w:val="Hyperlink"/>
          </w:rPr>
          <w:t xml:space="preserve">https://doi.org/10.18607/ES201532557</w:t>
        </w:r>
      </w:hyperlink>
      <w:r>
        <w:t xml:space="preserve">.</w:t>
      </w:r>
    </w:p>
    <w:bookmarkEnd w:id="75"/>
    <w:bookmarkStart w:id="76"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6"/>
    <w:bookmarkStart w:id="78"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7">
        <w:r>
          <w:rPr>
            <w:rStyle w:val="Hyperlink"/>
          </w:rPr>
          <w:t xml:space="preserve">https://doi.org/10.18820/24150487/as24i2.4</w:t>
        </w:r>
      </w:hyperlink>
      <w:r>
        <w:t xml:space="preserve">.</w:t>
      </w:r>
    </w:p>
    <w:bookmarkEnd w:id="78"/>
    <w:bookmarkStart w:id="80" w:name="X8197757cb75e327dcc86b36afee00a28411c12b"/>
    <w:p>
      <w:pPr>
        <w:pStyle w:val="Bibliography"/>
      </w:pPr>
      <w:r>
        <w:t xml:space="preserve">Barbosa, Ana Maria da Silva, Taciana de Barros Jerônimo, Patrícia Tatiana Ferreira Ramos, and Juliana Karla Rodrigues de Souza Santos. 2020.</w:t>
      </w:r>
      <w:r>
        <w:t xml:space="preserve"> </w:t>
      </w:r>
      <w:r>
        <w:t xml:space="preserve">“A Gestão de Facilities Na Manutenção de Uma Instituição Pública.”</w:t>
      </w:r>
      <w:r>
        <w:t xml:space="preserve"> </w:t>
      </w:r>
      <w:r>
        <w:rPr>
          <w:iCs/>
          <w:i/>
        </w:rPr>
        <w:t xml:space="preserve">Revista Gestão Industrial</w:t>
      </w:r>
      <w:r>
        <w:t xml:space="preserve"> </w:t>
      </w:r>
      <w:r>
        <w:t xml:space="preserve">16 (3): 129–46.</w:t>
      </w:r>
      <w:r>
        <w:t xml:space="preserve"> </w:t>
      </w:r>
      <w:hyperlink r:id="rId79">
        <w:r>
          <w:rPr>
            <w:rStyle w:val="Hyperlink"/>
          </w:rPr>
          <w:t xml:space="preserve">https://doi.org/10.3895/gi.v16n3.8968</w:t>
        </w:r>
      </w:hyperlink>
      <w:r>
        <w:t xml:space="preserve">.</w:t>
      </w:r>
    </w:p>
    <w:bookmarkEnd w:id="80"/>
    <w:bookmarkStart w:id="82"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81">
        <w:r>
          <w:rPr>
            <w:rStyle w:val="Hyperlink"/>
          </w:rPr>
          <w:t xml:space="preserve">https://doi.org/10.1108/SS-02-2016-0007</w:t>
        </w:r>
      </w:hyperlink>
      <w:r>
        <w:t xml:space="preserve">.</w:t>
      </w:r>
    </w:p>
    <w:bookmarkEnd w:id="82"/>
    <w:bookmarkStart w:id="84"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83">
        <w:r>
          <w:rPr>
            <w:rStyle w:val="Hyperlink"/>
          </w:rPr>
          <w:t xml:space="preserve">https://doi.org/10.1108/F-09-2018-0107</w:t>
        </w:r>
      </w:hyperlink>
      <w:r>
        <w:t xml:space="preserve">.</w:t>
      </w:r>
    </w:p>
    <w:bookmarkEnd w:id="84"/>
    <w:bookmarkStart w:id="86"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5">
        <w:r>
          <w:rPr>
            <w:rStyle w:val="Hyperlink"/>
          </w:rPr>
          <w:t xml:space="preserve">https://www.crossref.org/documentation/retrieve-metadata/rest-api/</w:t>
        </w:r>
      </w:hyperlink>
      <w:r>
        <w:t xml:space="preserve">.</w:t>
      </w:r>
    </w:p>
    <w:bookmarkEnd w:id="86"/>
    <w:bookmarkStart w:id="88" w:name="ref-das_iotai_2025"/>
    <w:p>
      <w:pPr>
        <w:pStyle w:val="Bibliography"/>
      </w:pPr>
      <w:r>
        <w:t xml:space="preserve">Das, Dillip Kumar. 2025.</w:t>
      </w:r>
      <w:r>
        <w:t xml:space="preserve"> </w:t>
      </w:r>
      <w:r>
        <w:t xml:space="preserve">“Integrating IoT and AI for Sustainable Energy-Efficient Smart Building: Potential, Barriers and Strategic Pathways.”</w:t>
      </w:r>
      <w:r>
        <w:t xml:space="preserve"> </w:t>
      </w:r>
      <w:r>
        <w:rPr>
          <w:iCs/>
          <w:i/>
        </w:rPr>
        <w:t xml:space="preserve">Sustainability</w:t>
      </w:r>
      <w:r>
        <w:t xml:space="preserve"> </w:t>
      </w:r>
      <w:r>
        <w:t xml:space="preserve">17 (22): 10313.</w:t>
      </w:r>
      <w:r>
        <w:t xml:space="preserve"> </w:t>
      </w:r>
      <w:hyperlink r:id="rId87">
        <w:r>
          <w:rPr>
            <w:rStyle w:val="Hyperlink"/>
          </w:rPr>
          <w:t xml:space="preserve">https://doi.org/10.3390/su172210313</w:t>
        </w:r>
      </w:hyperlink>
      <w:r>
        <w:t xml:space="preserve">.</w:t>
      </w:r>
    </w:p>
    <w:bookmarkEnd w:id="88"/>
    <w:bookmarkStart w:id="90"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9">
        <w:r>
          <w:rPr>
            <w:rStyle w:val="Hyperlink"/>
          </w:rPr>
          <w:t xml:space="preserve">https://doi.org/10.36680/j.itcon.2021.005</w:t>
        </w:r>
      </w:hyperlink>
      <w:r>
        <w:t xml:space="preserve">.</w:t>
      </w:r>
    </w:p>
    <w:bookmarkEnd w:id="90"/>
    <w:bookmarkStart w:id="92"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91">
        <w:r>
          <w:rPr>
            <w:rStyle w:val="Hyperlink"/>
          </w:rPr>
          <w:t xml:space="preserve">https://doi.org/10.1016/j.jbusres.2021.04.070</w:t>
        </w:r>
      </w:hyperlink>
      <w:r>
        <w:t xml:space="preserve">.</w:t>
      </w:r>
    </w:p>
    <w:bookmarkEnd w:id="92"/>
    <w:bookmarkStart w:id="94"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93">
        <w:r>
          <w:rPr>
            <w:rStyle w:val="Hyperlink"/>
          </w:rPr>
          <w:t xml:space="preserve">https://doi.org/10.1108/SASBE-07-2023-0170</w:t>
        </w:r>
      </w:hyperlink>
      <w:r>
        <w:t xml:space="preserve">.</w:t>
      </w:r>
    </w:p>
    <w:bookmarkEnd w:id="94"/>
    <w:bookmarkStart w:id="96"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95">
        <w:r>
          <w:rPr>
            <w:rStyle w:val="Hyperlink"/>
          </w:rPr>
          <w:t xml:space="preserve">https://doi.org/10.1080/15732479.2019.1652657</w:t>
        </w:r>
      </w:hyperlink>
      <w:r>
        <w:t xml:space="preserve">.</w:t>
      </w:r>
    </w:p>
    <w:bookmarkEnd w:id="96"/>
    <w:bookmarkStart w:id="98"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7">
        <w:r>
          <w:rPr>
            <w:rStyle w:val="Hyperlink"/>
          </w:rPr>
          <w:t xml:space="preserve">https://doi.org/10.1051/e3sconf/202342901002</w:t>
        </w:r>
      </w:hyperlink>
      <w:r>
        <w:t xml:space="preserve">.</w:t>
      </w:r>
    </w:p>
    <w:bookmarkEnd w:id="98"/>
    <w:bookmarkStart w:id="100"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9">
        <w:r>
          <w:rPr>
            <w:rStyle w:val="Hyperlink"/>
          </w:rPr>
          <w:t xml:space="preserve">https://doi.org/10.3758/s13428-026-02961-x</w:t>
        </w:r>
      </w:hyperlink>
      <w:r>
        <w:t xml:space="preserve">.</w:t>
      </w:r>
    </w:p>
    <w:bookmarkEnd w:id="100"/>
    <w:bookmarkStart w:id="102"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101">
        <w:r>
          <w:rPr>
            <w:rStyle w:val="Hyperlink"/>
          </w:rPr>
          <w:t xml:space="preserve">https://doi.org/10.1093/database/bat086</w:t>
        </w:r>
      </w:hyperlink>
      <w:r>
        <w:t xml:space="preserve">.</w:t>
      </w:r>
    </w:p>
    <w:bookmarkEnd w:id="102"/>
    <w:bookmarkStart w:id="104"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103">
        <w:r>
          <w:rPr>
            <w:rStyle w:val="Hyperlink"/>
          </w:rPr>
          <w:t xml:space="preserve">https://doi.org/10.3130/jaabe.17.307</w:t>
        </w:r>
      </w:hyperlink>
      <w:r>
        <w:t xml:space="preserve">.</w:t>
      </w:r>
    </w:p>
    <w:bookmarkEnd w:id="104"/>
    <w:bookmarkStart w:id="105" w:name="ref-lateef_manutencaouniversidade_2010"/>
    <w:p>
      <w:pPr>
        <w:pStyle w:val="Bibliography"/>
      </w:pPr>
      <w:r>
        <w:t xml:space="preserve">Lateef, Olanrewaju Abdul, Mohd Faris Khamidi, and Arazi Idrus. 2010.</w:t>
      </w:r>
      <w:r>
        <w:t xml:space="preserve"> </w:t>
      </w:r>
      <w:r>
        <w:t xml:space="preserve">“Building Maintenance Management in a Malaysian University Campuses: A Case Study.”</w:t>
      </w:r>
      <w:r>
        <w:t xml:space="preserve"> </w:t>
      </w:r>
      <w:r>
        <w:rPr>
          <w:iCs/>
          <w:i/>
        </w:rPr>
        <w:t xml:space="preserve">Australasian Journal of Construction Economics and Building</w:t>
      </w:r>
      <w:r>
        <w:t xml:space="preserve"> </w:t>
      </w:r>
      <w:r>
        <w:t xml:space="preserve">10 (1/2): 76–89.</w:t>
      </w:r>
    </w:p>
    <w:bookmarkEnd w:id="105"/>
    <w:bookmarkStart w:id="106" w:name="ref-maia_gestaoinformacaomanutencao_2016"/>
    <w:p>
      <w:pPr>
        <w:pStyle w:val="Bibliography"/>
      </w:pPr>
      <w:r>
        <w:t xml:space="preserve">Maia, Barbara Lepca, Sérgio Scheer, and Maria do Carmo Duarte Freitas. 2016.</w:t>
      </w:r>
      <w:r>
        <w:t xml:space="preserve"> </w:t>
      </w:r>
      <w:r>
        <w:t xml:space="preserve">“Manutenção Predial: A Prospecta de Decisões a Partir Da Gestão Da Informação.”</w:t>
      </w:r>
      <w:r>
        <w:t xml:space="preserve"> </w:t>
      </w:r>
      <w:r>
        <w:rPr>
          <w:iCs/>
          <w:i/>
        </w:rPr>
        <w:t xml:space="preserve">Revista de Engenharia e Tecnologia</w:t>
      </w:r>
      <w:r>
        <w:t xml:space="preserve"> </w:t>
      </w:r>
      <w:r>
        <w:t xml:space="preserve">8 (3): 37–55.</w:t>
      </w:r>
    </w:p>
    <w:bookmarkEnd w:id="106"/>
    <w:bookmarkStart w:id="108"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107">
        <w:r>
          <w:rPr>
            <w:rStyle w:val="Hyperlink"/>
          </w:rPr>
          <w:t xml:space="preserve">https://doi.org/10.47179/abcustos.v19i1.719</w:t>
        </w:r>
      </w:hyperlink>
      <w:r>
        <w:t xml:space="preserve">.</w:t>
      </w:r>
    </w:p>
    <w:bookmarkEnd w:id="108"/>
    <w:bookmarkStart w:id="110"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9">
        <w:r>
          <w:rPr>
            <w:rStyle w:val="Hyperlink"/>
          </w:rPr>
          <w:t xml:space="preserve">https://doi.org/10.1111/itor.70022</w:t>
        </w:r>
      </w:hyperlink>
      <w:r>
        <w:t xml:space="preserve">.</w:t>
      </w:r>
    </w:p>
    <w:bookmarkEnd w:id="110"/>
    <w:bookmarkStart w:id="112"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11">
        <w:r>
          <w:rPr>
            <w:rStyle w:val="Hyperlink"/>
          </w:rPr>
          <w:t xml:space="preserve">https://doi.org/10.18830/issn.1679-0944.n34.2023.08</w:t>
        </w:r>
      </w:hyperlink>
      <w:r>
        <w:t xml:space="preserve">.</w:t>
      </w:r>
    </w:p>
    <w:bookmarkEnd w:id="112"/>
    <w:bookmarkStart w:id="114" w:name="ref-motuziene_ventilacaoia_2025"/>
    <w:p>
      <w:pPr>
        <w:pStyle w:val="Bibliography"/>
      </w:pPr>
      <w:r>
        <w:t xml:space="preserve">Motuzienė, Violeta, Jonas Bielskus, Rasa Džiugaitė-Tumėnienė, and Vidas Raudonis. 2025.</w:t>
      </w:r>
      <w:r>
        <w:t xml:space="preserve"> </w:t>
      </w:r>
      <w:r>
        <w:t xml:space="preserve">“Occupancy-Based Predictive AI-Driven Ventilation Control for Energy Savings in Office Buildings.”</w:t>
      </w:r>
      <w:r>
        <w:t xml:space="preserve"> </w:t>
      </w:r>
      <w:r>
        <w:rPr>
          <w:iCs/>
          <w:i/>
        </w:rPr>
        <w:t xml:space="preserve">Sustainability</w:t>
      </w:r>
      <w:r>
        <w:t xml:space="preserve"> </w:t>
      </w:r>
      <w:r>
        <w:t xml:space="preserve">17 (9): 4140.</w:t>
      </w:r>
      <w:r>
        <w:t xml:space="preserve"> </w:t>
      </w:r>
      <w:hyperlink r:id="rId113">
        <w:r>
          <w:rPr>
            <w:rStyle w:val="Hyperlink"/>
          </w:rPr>
          <w:t xml:space="preserve">https://doi.org/10.3390/su17094140</w:t>
        </w:r>
      </w:hyperlink>
      <w:r>
        <w:t xml:space="preserve">.</w:t>
      </w:r>
    </w:p>
    <w:bookmarkEnd w:id="114"/>
    <w:bookmarkStart w:id="11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15">
        <w:r>
          <w:rPr>
            <w:rStyle w:val="Hyperlink"/>
          </w:rPr>
          <w:t xml:space="preserve">https://doi.org/10.1016/j.buildenv.2019.106212</w:t>
        </w:r>
      </w:hyperlink>
      <w:r>
        <w:t xml:space="preserve">.</w:t>
      </w:r>
    </w:p>
    <w:bookmarkEnd w:id="116"/>
    <w:bookmarkStart w:id="11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17">
        <w:r>
          <w:rPr>
            <w:rStyle w:val="Hyperlink"/>
          </w:rPr>
          <w:t xml:space="preserve">https://doi.org/10.1061/JCEMD4.COENG-13154</w:t>
        </w:r>
      </w:hyperlink>
      <w:r>
        <w:t xml:space="preserve">.</w:t>
      </w:r>
    </w:p>
    <w:bookmarkEnd w:id="118"/>
    <w:bookmarkStart w:id="12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19">
        <w:r>
          <w:rPr>
            <w:rStyle w:val="Hyperlink"/>
          </w:rPr>
          <w:t xml:space="preserve">https://doi.org/10.56065/pdpyke84</w:t>
        </w:r>
      </w:hyperlink>
      <w:r>
        <w:t xml:space="preserve">.</w:t>
      </w:r>
    </w:p>
    <w:bookmarkEnd w:id="120"/>
    <w:bookmarkStart w:id="12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21">
        <w:r>
          <w:rPr>
            <w:rStyle w:val="Hyperlink"/>
          </w:rPr>
          <w:t xml:space="preserve">https://doi.org/10.1108/F-07-2014-0060</w:t>
        </w:r>
      </w:hyperlink>
      <w:r>
        <w:t xml:space="preserve">.</w:t>
      </w:r>
    </w:p>
    <w:bookmarkEnd w:id="122"/>
    <w:bookmarkStart w:id="12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23">
        <w:r>
          <w:rPr>
            <w:rStyle w:val="Hyperlink"/>
          </w:rPr>
          <w:t xml:space="preserve">https://doi.org/10.3390/su15043174</w:t>
        </w:r>
      </w:hyperlink>
      <w:r>
        <w:t xml:space="preserve">.</w:t>
      </w:r>
    </w:p>
    <w:bookmarkEnd w:id="124"/>
    <w:bookmarkStart w:id="12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25">
        <w:r>
          <w:rPr>
            <w:rStyle w:val="Hyperlink"/>
          </w:rPr>
          <w:t xml:space="preserve">https://doi.org/10.3390/su14031705</w:t>
        </w:r>
      </w:hyperlink>
      <w:r>
        <w:t xml:space="preserve">.</w:t>
      </w:r>
    </w:p>
    <w:bookmarkEnd w:id="126"/>
    <w:bookmarkStart w:id="12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27">
        <w:r>
          <w:rPr>
            <w:rStyle w:val="Hyperlink"/>
          </w:rPr>
          <w:t xml:space="preserve">https://doi.org/10.2478/otmcj-2023-0005</w:t>
        </w:r>
      </w:hyperlink>
      <w:r>
        <w:t xml:space="preserve">.</w:t>
      </w:r>
    </w:p>
    <w:bookmarkEnd w:id="128"/>
    <w:bookmarkStart w:id="13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29">
        <w:r>
          <w:rPr>
            <w:rStyle w:val="Hyperlink"/>
          </w:rPr>
          <w:t xml:space="preserve">https://doi.org/10.3390/su11247181</w:t>
        </w:r>
      </w:hyperlink>
      <w:r>
        <w:t xml:space="preserve">.</w:t>
      </w:r>
    </w:p>
    <w:bookmarkEnd w:id="130"/>
    <w:bookmarkStart w:id="13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31">
        <w:r>
          <w:rPr>
            <w:rStyle w:val="Hyperlink"/>
          </w:rPr>
          <w:t xml:space="preserve">https://doi.org/10.1108/IJBPA-07-2025-0169</w:t>
        </w:r>
      </w:hyperlink>
      <w:r>
        <w:t xml:space="preserve">.</w:t>
      </w:r>
    </w:p>
    <w:bookmarkEnd w:id="132"/>
    <w:bookmarkStart w:id="13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33">
        <w:r>
          <w:rPr>
            <w:rStyle w:val="Hyperlink"/>
          </w:rPr>
          <w:t xml:space="preserve">https://doi.org/10.1186/2046-4053-4-6</w:t>
        </w:r>
      </w:hyperlink>
      <w:r>
        <w:t xml:space="preserve">.</w:t>
      </w:r>
    </w:p>
    <w:bookmarkEnd w:id="134"/>
    <w:bookmarkStart w:id="13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35">
        <w:r>
          <w:rPr>
            <w:rStyle w:val="Hyperlink"/>
          </w:rPr>
          <w:t xml:space="preserve">https://doi.org/10.1016/j.jbusres.2019.07.039</w:t>
        </w:r>
      </w:hyperlink>
      <w:r>
        <w:t xml:space="preserve">.</w:t>
      </w:r>
    </w:p>
    <w:bookmarkEnd w:id="136"/>
    <w:bookmarkStart w:id="138" w:name="ref-suh_demandaenergiaagua_2012"/>
    <w:p>
      <w:pPr>
        <w:pStyle w:val="Bibliography"/>
      </w:pPr>
      <w:r>
        <w:t xml:space="preserve">Suh, Dongjun, and Seongju Chang. 2012.</w:t>
      </w:r>
      <w:r>
        <w:t xml:space="preserve"> </w:t>
      </w:r>
      <w:r>
        <w:t xml:space="preserve">“An Energy and Water Resource Demand Estimation Model for Multi-Family Housing Complexes in Korea.”</w:t>
      </w:r>
      <w:r>
        <w:t xml:space="preserve"> </w:t>
      </w:r>
      <w:r>
        <w:rPr>
          <w:iCs/>
          <w:i/>
        </w:rPr>
        <w:t xml:space="preserve">Energies</w:t>
      </w:r>
      <w:r>
        <w:t xml:space="preserve"> </w:t>
      </w:r>
      <w:r>
        <w:t xml:space="preserve">5 (11): 4497–4516.</w:t>
      </w:r>
      <w:r>
        <w:t xml:space="preserve"> </w:t>
      </w:r>
      <w:hyperlink r:id="rId137">
        <w:r>
          <w:rPr>
            <w:rStyle w:val="Hyperlink"/>
          </w:rPr>
          <w:t xml:space="preserve">https://doi.org/10.3390/en5114497</w:t>
        </w:r>
      </w:hyperlink>
      <w:r>
        <w:t xml:space="preserve">.</w:t>
      </w:r>
    </w:p>
    <w:bookmarkEnd w:id="138"/>
    <w:bookmarkStart w:id="140"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39">
        <w:r>
          <w:rPr>
            <w:rStyle w:val="Hyperlink"/>
          </w:rPr>
          <w:t xml:space="preserve">https://doi.org/10.1108/F-06-2012-0042</w:t>
        </w:r>
      </w:hyperlink>
      <w:r>
        <w:t xml:space="preserve">.</w:t>
      </w:r>
    </w:p>
    <w:bookmarkEnd w:id="140"/>
    <w:bookmarkStart w:id="142"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41">
        <w:r>
          <w:rPr>
            <w:rStyle w:val="Hyperlink"/>
          </w:rPr>
          <w:t xml:space="preserve">https://doi.org/10.1108/F-03-2016-0028</w:t>
        </w:r>
      </w:hyperlink>
      <w:r>
        <w:t xml:space="preserve">.</w:t>
      </w:r>
    </w:p>
    <w:bookmarkEnd w:id="142"/>
    <w:bookmarkStart w:id="144"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43">
        <w:r>
          <w:rPr>
            <w:rStyle w:val="Hyperlink"/>
          </w:rPr>
          <w:t xml:space="preserve">https://doi.org/10.1111/j.1365-2648.2005.03621.x</w:t>
        </w:r>
      </w:hyperlink>
      <w:r>
        <w:t xml:space="preserve">.</w:t>
      </w:r>
    </w:p>
    <w:bookmarkEnd w:id="144"/>
    <w:bookmarkStart w:id="146" w:name="ref-wu_gnnvidautil_2025"/>
    <w:p>
      <w:pPr>
        <w:pStyle w:val="Bibliography"/>
      </w:pPr>
      <w:r>
        <w:t xml:space="preserve">Wu, Pei-Yu, and S. Olof Mundt-Petersen. 2025.</w:t>
      </w:r>
      <w:r>
        <w:t xml:space="preserve"> </w:t>
      </w:r>
      <w:r>
        <w:t xml:space="preserve">“Empirical Quantification and Prediction of Building Component Lifespans with Graph Neural Networks.”</w:t>
      </w:r>
      <w:r>
        <w:t xml:space="preserve"> </w:t>
      </w:r>
      <w:r>
        <w:rPr>
          <w:iCs/>
          <w:i/>
        </w:rPr>
        <w:t xml:space="preserve">IOP Conference Series: Earth and Environmental Science</w:t>
      </w:r>
      <w:r>
        <w:t xml:space="preserve"> </w:t>
      </w:r>
      <w:r>
        <w:t xml:space="preserve">1554: 012036.</w:t>
      </w:r>
      <w:r>
        <w:t xml:space="preserve"> </w:t>
      </w:r>
      <w:hyperlink r:id="rId145">
        <w:r>
          <w:rPr>
            <w:rStyle w:val="Hyperlink"/>
          </w:rPr>
          <w:t xml:space="preserve">https://doi.org/10.1088/1755-1315/1554/1/012036</w:t>
        </w:r>
      </w:hyperlink>
      <w:r>
        <w:t xml:space="preserve">.</w:t>
      </w:r>
    </w:p>
    <w:bookmarkEnd w:id="146"/>
    <w:bookmarkStart w:id="148"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47">
        <w:r>
          <w:rPr>
            <w:rStyle w:val="Hyperlink"/>
          </w:rPr>
          <w:t xml:space="preserve">https://doi.org/10.1061/(ASCE)CF.1943-5509.0001176</w:t>
        </w:r>
      </w:hyperlink>
      <w:r>
        <w:t xml:space="preserve">.</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3" Type="http://schemas.openxmlformats.org/officeDocument/2006/relationships/image" Target="media/rId53.png"/><Relationship Id="rId56" Type="http://schemas.openxmlformats.org/officeDocument/2006/relationships/image" Target="media/rId56.png"/><Relationship Id="rId36" Type="http://schemas.openxmlformats.org/officeDocument/2006/relationships/image" Target="media/rId36.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2026-07-14T01:54:21Z</dcterms:created>
  <dcterms:modified xsi:type="dcterms:W3CDTF">2026-07-14T01:54:21Z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