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Aprendizado de máquina passou de nove para 26 registros após a sensibilidade. Nenhum dos 17 incorporados demonstrou a cadeia completa entre modelo treinado, validação externa, ponderação multicritério, regras de veto e decisão pública auditável. A contribuição central é uma matriz rastreável de critérios, indicadores candidatos e fluxo decisório para validação institucional. Pesos, função de agregação e limiares não foram definidos, porque dependem de participação institucional, dados reais e teste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Machine learning increased from nine to 26 records after the sensitivity search. None of the 17 incorporated records demonstrated the complete chain linking a trained model, external validation, multi-criteria weighting, veto rules, and auditable public decision-making. The central contribution is a traceable matrix of criteria, candidate indicators, and a decision flow for institutional validation. Weights, aggregation function, and thresholds were not defined because they depend on institutional participation, real data, and multi-campus testing.</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decisória recorrente: intervenções visíveis ou urgentes competem por recursos com ações preventivas, ambientais, sociais e institucionais cujos benefícios se distribuem ao longo do ciclo de vida. Estudos de caso em instituições universitárias sugerem que a ausência de critérios transparentes favorece práticas reativas e dificulta justificar tecnicamente a prioridade atribuída a cada ativo (Lateef, Khamidi, and Idrus 2010; Barbosa et al. 2020). A manutenção predial condiciona desempenho, segurança, durabilidade e continuidade dos serviços, e a NBR 5674 estabelece requisitos de planejamento, controle e avaliação do sistema de manutenção (Associação Brasileira de Normas Técnicas 2012). No âmbito público brasileiro, essa responsabilidade também se vincula a deveres legais e administrativos do gestor (Araújo Neto 2015).</w:t>
      </w:r>
    </w:p>
    <w:p>
      <w:pPr>
        <w:pStyle w:val="BodyText"/>
        <w:rPr/>
      </w:pPr>
      <w:r>
        <w:rPr/>
        <w:t>Em instituições com infraestrutura envelhecida, restrições orçamentárias e demanda acumulada, ordenar intervenções somente por custo imediato ou urgência pode omitir efeitos sobre desempenho futuro e continuidade operacional. A análise de custos em universidade federal demonstra a utilidade de modelos de previsão para o planejamento orçamentário (Martins and Espejo 2024), enquanto registros de ordens de serviço permitem reconhecer padrões de demanda e apoiar o planejamento de intervenções (Morais, Paula, and Reis 2023). Tomados em conjunto, esses estudos sustentam a necessidade de combinar custos e ordens de serviço com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articula desempenho ambiental, econômico e social com planejamento, operação e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podem explicitar compensações entre esses objetivos, desde que critérios, indicadores, pesos, regras não compensatórias e incertezas sejam documentados (Alfalah et al. 2022; Naji, Gunduz, and Maki 2023; Masmoudi et al. 2026).</w:t>
      </w:r>
    </w:p>
    <w:p>
      <w:pPr>
        <w:pStyle w:val="BodyText"/>
        <w:rPr/>
      </w:pPr>
      <w:r>
        <w:rPr/>
        <w:t>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 (Deng, Menassa, and Kamat 2021; Das 2025; Alfalah et al. 2022; Masmoudi et al. 2026). A lacuna abordada neste artigo é a conexão rastreável entre evidência científica, variável observável e regra pública de decisão, sem confundir frequência bibliográfica com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é: como os padrões bibliométricos e a síntese temática da literatura podem fundamentar critérios, indicadores e etapas de validação para uma futura aplicação multicritério nesse contexto?</w:t>
      </w:r>
    </w:p>
    <w:p>
      <w:pPr>
        <w:pStyle w:val="BodyText"/>
        <w:rPr/>
      </w:pPr>
      <w:r>
        <w:rPr/>
        <w:t>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permanece uma análise secundária de cobertura e não redefine retrospectivamente a busca principal nem a contribuição central do artigo.</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funcionam como camadas de evidência que justificam essa especificação; não são apresentados como produtos independentes de igual hierarquia nem como validação de um modelo decisório pronto.</w:t>
      </w:r>
      <w:bookmarkEnd w:id="1"/>
    </w:p>
    <w:p>
      <w:pPr>
        <w:pStyle w:val="Heading1"/>
        <w:rPr/>
      </w:pPr>
      <w:bookmarkStart w:id="2" w:name="sec%3Arevisao"/>
      <w:r>
        <w:rPr/>
        <w:t>Fundamentos teóricos da manutenção sustentável</w:t>
      </w:r>
    </w:p>
    <w:p>
      <w:pPr>
        <w:pStyle w:val="FirstParagraph"/>
        <w:rPr/>
      </w:pPr>
      <w:r>
        <w:rPr/>
        <w:t xml:space="preserve">A literatura analisada pode ser organizada em cinco correntes complementares, abrangendo ciclo de vida, gestão sustentável de facilidades, efeitos sobre usuários, integração digital e apoio multicritério (Nägeli et al. 2019; Nielsen, Sarasoja, and Galamba 2016; Alfalah et al. 2022; Deng, Menassa, and Kamat 2021; Masmoudi et al. 2026). Essa organização não substitui a classificação empírica do corpus; ela explicita os fundamentos usados para converter a síntese em especificação operacional. Neste artigo, MCDM designa </w:t>
      </w:r>
      <w:r>
        <w:rPr>
          <w:i/>
          <w:iCs/>
        </w:rPr>
        <w:t>multi-criteria decision-making</w:t>
      </w:r>
      <w:r>
        <w:rPr/>
        <w:t xml:space="preserve"> e MCDA, </w:t>
      </w:r>
      <w:r>
        <w:rPr>
          <w:i/>
          <w:iCs/>
        </w:rPr>
        <w:t>multi-criteria decision analysis</w:t>
      </w:r>
      <w:r>
        <w:rPr/>
        <w:t xml:space="preserve">; AHP corresponde a </w:t>
      </w:r>
      <w:r>
        <w:rPr>
          <w:i/>
          <w:iCs/>
        </w:rPr>
        <w:t>Analytic Hierarchy Process</w:t>
      </w:r>
      <w:r>
        <w:rPr/>
        <w:t xml:space="preserve">, TOPSIS a </w:t>
      </w:r>
      <w:r>
        <w:rPr>
          <w:i/>
          <w:iCs/>
        </w:rPr>
        <w:t>Technique for Order Preference by Similarity to Ideal Solution</w:t>
      </w:r>
      <w:r>
        <w:rPr/>
        <w:t xml:space="preserve"> e ANP a </w:t>
      </w:r>
      <w:r>
        <w:rPr>
          <w:i/>
          <w:iCs/>
        </w:rPr>
        <w:t>Analytic Network Process</w:t>
      </w:r>
      <w:r>
        <w:rPr/>
        <w:t>. A Tabela </w:t>
      </w:r>
      <w:hyperlink w:anchor="tab%3Acorrentesteoricas">
        <w:r>
          <w:rPr>
            <w:rStyle w:val="Hyperlink"/>
          </w:rPr>
          <w:t>1</w:t>
        </w:r>
      </w:hyperlink>
      <w:r>
        <w:rPr/>
        <w:t xml:space="preserve"> apresenta o núcleo de cada corrente, sua contribuição à especificação e a principal lacuna de integração.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do ativo,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 ao longo da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reais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das atividades acadêmicas.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 frequência e operacionalização que os critérios técnicos.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progressiva dos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Validação externa, interoperabilidade e governança ainda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Poucas aplicações documentam a cadeia completa até a decisão institucional.</w:t>
            </w:r>
          </w:p>
        </w:tc>
      </w:tr>
    </w:tbl>
    <w:p>
      <w:pPr>
        <w:pStyle w:val="Normal"/>
        <w:rPr/>
      </w:pPr>
      <w:r>
        <w:rPr/>
      </w:r>
    </w:p>
    <w:p>
      <w:pPr>
        <w:pStyle w:val="BodyText"/>
        <w:rPr/>
      </w:pPr>
      <w:r>
        <w:rPr/>
        <w:t>A corrente técnica-operacional parte da manutenção como função do ciclo de vida, da confiabilidade e do desempenho do ativo (Nägeli et al. 2019; Othman and Kamal 2023). Planejar conjuntamente manutenção e renovação permite coordenar condição física, consumo de energia e restrições orçamentárias (Nägeli et al. 2019). Estudos de manutenibilidade mostram ainda que decisões tomadas no projeto influenciam acesso, segurança e custo de intervenções futuras (Othman and Kamal 2023; Chew and Conejos 2016; Conejos, Chew, and Azril 2019). Na especificação candidata, essa corrente sustenta critérios como desempenho, risco, condição física, vida útil e qualidade do serviço.</w:t>
      </w:r>
    </w:p>
    <w:p>
      <w:pPr>
        <w:pStyle w:val="BodyText"/>
        <w:rPr/>
      </w:pPr>
      <w:r>
        <w:rPr/>
        <w:t>A corrente ambiental e de ciclo de vida amplia a decisão para energia, emissões, água, resíduos e efeitos intertemporais (Nielsen, Sarasoja, and Galamba 2016; Opoku and Lee 2022; Okoro 2023). A gestão sustentável de facilidades conecta esses impactos aos níveis estratégico, tático e operacional (Nielsen, Sarasoja, and Galamba 2016; Opoku and Lee 2022; Okoro 2023). Na especificação proposta, o ciclo de vida opera como eixo transversal para integrar custos, riscos e impactos futuros sem converter a mesma consequência temporal em critérios redundantes, opção analítica apoiada pela abordagem conjunta de manutenção, renovação e energia (Nägeli et al. 2019).</w:t>
      </w:r>
    </w:p>
    <w:p>
      <w:pPr>
        <w:pStyle w:val="BodyText"/>
        <w:rPr/>
      </w:pPr>
      <w:r>
        <w:rPr/>
        <w:t>A corrente social e ocupacional desloca parte da avaliação do ativo para as pessoas que utilizam e operam a edificação (Alfalah et al. 2022; Nielsen, Sarasoja, and Galamba 2016). Segurança, conforto, satisfação, acessibilidade e continuidade das atividades acadêmicas são efeitos considerados em abordagens sustentáveis de gestão de facilidades e avaliação de edifícios educacionais (Nielsen, Sarasoja, and Galamba 2016; Alfalah et al. 2022). Em edifícios educacionais, estruturas de avaliação combinam desempenho técnico, energia e percepção dos usuários (Alfalah et al. 2022). Essa corrente evita que uma classificação tecnicamente eficiente seja socialmente inadequada.</w:t>
      </w:r>
    </w:p>
    <w:p>
      <w:pPr>
        <w:pStyle w:val="BodyText"/>
        <w:rPr/>
      </w:pPr>
      <w:r>
        <w:rPr/>
        <w:t xml:space="preserve">A corrente informacional e digital abrange modelagem da informação da construção, </w:t>
      </w:r>
      <w:r>
        <w:rPr>
          <w:i/>
          <w:iCs/>
        </w:rPr>
        <w:t>digital twins</w:t>
      </w:r>
      <w:r>
        <w:rPr/>
        <w:t xml:space="preserve">, sensores, ontologias, inteligência artificial e manutenção preditiva. A revisão de Deng, Menassa, and Kamat (2021) examina a transição de BIM para </w:t>
      </w:r>
      <w:r>
        <w:rPr>
          <w:i/>
          <w:iCs/>
        </w:rPr>
        <w:t>digital twins</w:t>
      </w:r>
      <w:r>
        <w:rPr/>
        <w:t>; Espinosa Gispert et al. (2025) tratam da organização dos ativos por ontologia; e Goretti and Kaming (2023) discutem a integração entre BIM, operação e manutenção. Em outra vertente, Das (2025) sintetizam aplicações de IoT e inteligência artificial em edifícios.</w:t>
      </w:r>
    </w:p>
    <w:p>
      <w:pPr>
        <w:pStyle w:val="BodyText"/>
        <w:rPr/>
      </w:pPr>
      <w:r>
        <w:rPr/>
        <w:t>Para organizar essa literatura, o artigo adota uma distinção funcional. Plataformas, modelos de informação e ontologias estruturam ou sincronizam cadastro, condição, operação e histórico de intervenções, como mostram os trabalhos de Deng, Menassa, and Kamat (2021), Espinosa Gispert et al. (2025) e Goretti and Kaming (2023). Modelos treinados, por sua vez, produzem estimativas de demanda, vida útil ou anomalias, como nas aplicações de ventilação de Motuzienė et al. (2025), de regressão em grafos de Wu and Mundt-Petersen (2025) e de IoT com IA sintetizadas por Das (2025). A transformação dessas saídas em prioridade institucional ainda exige critérios, preferências, restrições e responsabilização decisória, funções que não são substituídas pela capacidade preditiva do modelo (Das 2025).</w:t>
      </w:r>
    </w:p>
    <w:p>
      <w:pPr>
        <w:pStyle w:val="BodyText"/>
        <w:rPr/>
      </w:pPr>
      <w:r>
        <w:rP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 </w:t>
      </w:r>
      <w:r>
        <w:rPr>
          <w:i/>
          <w:iCs/>
        </w:rPr>
        <w:t>campus</w:t>
      </w:r>
      <w:r>
        <w:rPr/>
        <w:t xml:space="preserve"> e de manutenção pública (Alfalah et al. 2022; Naji, Gunduz, and Maki 2023; Masmoudi et al. 2026). Ainda assim, a seleção do método deve considerar o problema decisório, a qualidade dos dados, a compensabilidade dos critérios e a capacidade dos usuários, e não apenas sua frequência bibliográfica.</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e o núcleo temático não constitui subconjunto estrito da camada bibliométrica.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metodológico explicita pergunta, busca, seleção, extração e síntese, elementos de transparência e reprodutibilidade destacados por Hu et al. (2026). A referência é empregada apenas como parâmetro de relato; não implica pré-registro, dupla revisão, avaliação de risco de viés, elegibilidade integral em texto completo ou metanálise, procedimentos não realizados.</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rPr/>
      </w:pPr>
      <w:r>
        <w:rPr/>
        <w:t>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10.</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r>
        <w:rPr/>
        <w:t>A Tabela </w:t>
      </w:r>
      <w:hyperlink w:anchor="tab%3Adeduplicacao">
        <w:r>
          <w:rPr>
            <w:rStyle w:val="Hyperlink"/>
          </w:rPr>
          <w:t>6</w:t>
        </w:r>
      </w:hyperlink>
      <w:r>
        <w:rPr/>
        <w:t xml:space="preserve"> apresenta os resultados e os controles conservadores da deduplicação.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Total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Interpretação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brutos normalizados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ocorrência recuperada antes da deduplicação.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grupo consolidado.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removidas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Diferença entre registros brutos e únicos.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Grupos com 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1.808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1.635 agrupados por DOI e 173 apenas por título normalizado.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com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8.264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presente após consolidação.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sem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Dependem de título e identificadores para controle de duplicidade.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Conflitos preservados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 por DOI divergente e 47 por identificador próprio divergente; não foram mesclados.</w:t>
            </w:r>
          </w:p>
        </w:tc>
      </w:tr>
    </w:tbl>
    <w:p>
      <w:pPr>
        <w:pStyle w:val="Normal"/>
        <w:rPr/>
      </w:pPr>
      <w:r>
        <w:rPr/>
      </w:r>
    </w:p>
    <w:p>
      <w:pPr>
        <w:pStyle w:val="BodyText"/>
        <w:rPr/>
      </w:pPr>
      <w:r>
        <w:rPr/>
        <w:t>A rotina não usa similaridade aproximada de títulos e não estabelece vínculo automático entre trabalho em evento e artigo posterior quando os identificadores diferem. Os conflitos detectados foram preservados como registros separados.</w:t>
      </w:r>
    </w:p>
    <w:p>
      <w:pPr>
        <w:pStyle w:val="BodyText"/>
        <w:rPr/>
      </w:pPr>
      <w:bookmarkStart w:id="8" w:name="X961280b3a45a67e41e71da47b94b36fd32344d7"/>
      <w:r>
        <w:rPr/>
        <w:t>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7</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rPr/>
      </w:pPr>
      <w:r>
        <w:rPr/>
        <w:t>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sendo 104 do núcleo original e 17 incorporados pela busca complementar de sensibilidade para inteligência artificial e aprendizado de máquina (Seção </w:t>
      </w:r>
      <w:hyperlink w:anchor="sec%3Abuscaia">
        <w:r>
          <w:rPr>
            <w:rStyle w:val="Hyperlink"/>
          </w:rPr>
          <w:t>3.4</w:t>
        </w:r>
      </w:hyperlink>
      <w:r>
        <w:rPr/>
        <w:t>). O período de 2019 a 2026 concentra 101 registros, correspondentes a 83,5% do núcleo, com maior frequência em 2025, quando foram identificados 29 estudos.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Distribuição temporal do núcleo temático vigente</w:t>
      </w:r>
    </w:p>
    <w:p>
      <w:pPr>
        <w:pStyle w:val="BodyText"/>
        <w:rPr/>
      </w:pPr>
      <w:r>
        <w:rPr/>
        <w:t>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rPr/>
      </w:pPr>
      <w:r>
        <w:rPr/>
        <w:t xml:space="preserve">A tipologia documental foi harmonizada para evitar que rótulos equivalentes fossem apresentados como categorias distintas. Os rótulos </w:t>
      </w:r>
      <w:r>
        <w:rPr>
          <w:i/>
          <w:iCs/>
        </w:rPr>
        <w:t>Journal</w:t>
      </w:r>
      <w:r>
        <w:rPr/>
        <w:t xml:space="preserve">, </w:t>
      </w:r>
      <w:r>
        <w:rPr>
          <w:i/>
          <w:iCs/>
        </w:rPr>
        <w:t>JOUR</w:t>
      </w:r>
      <w:r>
        <w:rPr/>
        <w:t xml:space="preserve"> e </w:t>
      </w:r>
      <w:r>
        <w:rPr>
          <w:i/>
          <w:iCs/>
        </w:rPr>
        <w:t>journal-article</w:t>
      </w:r>
      <w:r>
        <w:rPr/>
        <w:t xml:space="preserve"> foram reunidos como artigo de periódico. </w:t>
      </w:r>
      <w:r>
        <w:rPr>
          <w:i/>
          <w:iCs/>
        </w:rPr>
        <w:t>Conference Proceeding</w:t>
      </w:r>
      <w:r>
        <w:rPr/>
        <w:t xml:space="preserve"> e </w:t>
      </w:r>
      <w:r>
        <w:rPr>
          <w:i/>
          <w:iCs/>
        </w:rPr>
        <w:t>CPAPER</w:t>
      </w:r>
      <w:r>
        <w:rPr/>
        <w:t xml:space="preserve"> foram reunidos como trabalho em evento. </w:t>
      </w:r>
      <w:r>
        <w:rPr>
          <w:i/>
          <w:iCs/>
        </w:rPr>
        <w:t>Book Series</w:t>
      </w:r>
      <w:r>
        <w:rPr/>
        <w:t xml:space="preserve"> e </w:t>
      </w:r>
      <w:r>
        <w:rPr>
          <w:i/>
          <w:iCs/>
        </w:rPr>
        <w:t>Book</w:t>
      </w:r>
      <w:r>
        <w:rPr/>
        <w:t xml:space="preserve"> foram reunidos como livro ou série de livro. A Tabela </w:t>
      </w:r>
      <w:hyperlink w:anchor="tab%3Abasetipo">
        <w:r>
          <w:rPr>
            <w:rStyle w:val="Hyperlink"/>
          </w:rPr>
          <w:t>8</w:t>
        </w:r>
      </w:hyperlink>
      <w:r>
        <w:rPr/>
        <w:t xml:space="preserve"> apresenta as duas dimensões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bookmarkEnd w:id="15"/>
    </w:p>
    <w:p>
      <w:pPr>
        <w:pStyle w:val="Heading1"/>
        <w:rPr/>
      </w:pPr>
      <w:bookmarkStart w:id="16" w:name="sec%3Abibliometriaampliada"/>
      <w:r>
        <w:rPr/>
        <w:t>Estrutura bibliométrica do campo</w:t>
      </w:r>
    </w:p>
    <w:p>
      <w:pPr>
        <w:pStyle w:val="FirstParagraph"/>
        <w:rPr/>
      </w:pPr>
      <w:r>
        <w:rPr/>
        <w:t>A camada bibliométrica utilizou os 372 registros classificados no estrato bibliométrico forte. Esse estrato exige aderência simultânea ao objeto predial, à manutenção ou gestão, à sustentabilidade e à presença de método, dados ou resultados, além de resumo suficiente e ausência de sinal forte de exclusão. Conforme a relação entre conjuntos apresentada na Seção </w:t>
      </w:r>
      <w:hyperlink w:anchor="sec%3Ametodologia">
        <w:r>
          <w:rPr>
            <w:rStyle w:val="Hyperlink"/>
          </w:rPr>
          <w:t>3</w:t>
        </w:r>
      </w:hyperlink>
      <w:r>
        <w:rPr/>
        <w:t>, 109 desses registros também integram o núcleo temático vigente; 263 são exclusivos da camada bibliométrica e 12 registros do núcleo temático não pertencem ao estrato de 372. Os conjuntos são, portanto, parcialmente sobrepostos e cumprem funções analíticas distintas.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rPr/>
      </w:pPr>
      <w:r>
        <w:rPr/>
        <w:t xml:space="preserve">As palavras-chave foram normalizadas quanto a caixa, acentuação, singular e variantes ortográficas. Expressões equivalentes, como </w:t>
      </w:r>
      <w:r>
        <w:rPr>
          <w:i/>
          <w:iCs/>
        </w:rPr>
        <w:t>building information modeling</w:t>
      </w:r>
      <w:r>
        <w:rPr/>
        <w:t xml:space="preserve">, </w:t>
      </w:r>
      <w:r>
        <w:rPr>
          <w:i/>
          <w:iCs/>
        </w:rPr>
        <w:t>building information modelling</w:t>
      </w:r>
      <w:r>
        <w:rPr/>
        <w:t xml:space="preserve"> 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rPr/>
      </w:pPr>
      <w:r>
        <w:rPr/>
        <w:t>O Gráfico </w:t>
      </w:r>
      <w:hyperlink w:anchor="fig%3Afontes372">
        <w:r>
          <w:rPr>
            <w:rStyle w:val="Hyperlink"/>
          </w:rPr>
          <w:t>3</w:t>
        </w:r>
      </w:hyperlink>
      <w:r>
        <w:rPr/>
        <w:t xml:space="preserve"> sintetiza a distribuição editorial do corpus, composto por 208 fontes. O núcleo aproximado de Bradford reuniu 13 fontes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presença simultânea de periódicos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Fontes mais frequentes no corpus bibliométrico ampliado</w:t>
      </w:r>
    </w:p>
    <w:p>
      <w:pPr>
        <w:pStyle w:val="BodyText"/>
        <w:rPr/>
      </w:pPr>
      <w:r>
        <w:rPr/>
        <w:t>O Gráfico </w:t>
      </w:r>
      <w:hyperlink w:anchor="fig%3Amapatematico372">
        <w:r>
          <w:rPr>
            <w:rStyle w:val="Hyperlink"/>
          </w:rPr>
          <w:t>4</w:t>
        </w:r>
      </w:hyperlink>
      <w:r>
        <w:rPr/>
        <w:t xml:space="preserve"> apresenta o mapa temático, no qual foram identificados dois eixos de maior centralidade. O primeiro articulou BIM, desempenho da edificação e </w:t>
      </w:r>
      <w:r>
        <w:rPr>
          <w:i/>
          <w:iCs/>
        </w:rPr>
        <w:t>digital twins</w:t>
      </w:r>
      <w:r>
        <w:rPr/>
        <w:t>,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Mapa temático por centralidade e densidade das palavras-chave</w:t>
      </w:r>
    </w:p>
    <w:p>
      <w:pPr>
        <w:pStyle w:val="BodyText"/>
        <w:rPr/>
      </w:pPr>
      <w:r>
        <w:rPr/>
        <w:t>O Gráfico </w:t>
      </w:r>
      <w:hyperlink w:anchor="fig%3Aredecor372">
        <w:r>
          <w:rPr>
            <w:rStyle w:val="Hyperlink"/>
          </w:rPr>
          <w:t>5</w:t>
        </w:r>
      </w:hyperlink>
      <w:r>
        <w:rPr/>
        <w:t xml:space="preserve"> mostra a rede normalizada, que reforça a posição de BIM e gestão de facilidades como elementos de conexão. BIM apareceu associado a gestão de facilidades, </w:t>
      </w:r>
      <w:r>
        <w:rPr>
          <w:i/>
          <w:iCs/>
        </w:rPr>
        <w:t>digital twins</w:t>
      </w:r>
      <w:r>
        <w:rPr/>
        <w:t>,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Rede normalizada de coocorrência de palavras-chave</w:t>
      </w:r>
    </w:p>
    <w:p>
      <w:pPr>
        <w:pStyle w:val="BodyText"/>
        <w:rPr/>
      </w:pPr>
      <w:r>
        <w:rPr/>
        <w:t>O Gráfico </w:t>
      </w:r>
      <w:hyperlink w:anchor="fig%3Aevolucaotematica372">
        <w:r>
          <w:rPr>
            <w:rStyle w:val="Hyperlink"/>
          </w:rPr>
          <w:t>6</w:t>
        </w:r>
      </w:hyperlink>
      <w:r>
        <w:rPr/>
        <w:t xml:space="preserve"> compara os períodos e mostra mudança do vocabulário do campo. A participação de BIM aumentou 7,3 pontos percentuais entre os dois períodos, enquanto </w:t>
      </w:r>
      <w:r>
        <w:rPr>
          <w:i/>
          <w:iCs/>
        </w:rPr>
        <w:t>digital twins</w:t>
      </w:r>
      <w:r>
        <w:rPr/>
        <w:t xml:space="preserve"> 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Evolução das palavras-chave entre 2010–2020 e 2021–2026</w:t>
      </w:r>
    </w:p>
    <w:p>
      <w:pPr>
        <w:pStyle w:val="BodyText"/>
        <w:rPr/>
      </w:pPr>
      <w:r>
        <w:rPr/>
        <w:t xml:space="preserve">Em conjunto, a camada bibliométrica mostra transição de um vocabulário concentrado em eficiência, desempenho e edificações verdes para outro mais conectado a BIM, </w:t>
      </w:r>
      <w:r>
        <w:rPr>
          <w:i/>
          <w:iCs/>
        </w:rPr>
        <w:t>digital twins</w:t>
      </w:r>
      <w:r>
        <w:rPr/>
        <w:t>, carbono, ciclo de vida e manutenção preditiva. Esse resultado descreve a estrutura documental do campo, mas não demonstra maturidade decisória. Por isso, as seções seguintes usam o núcleo temático vigente de 121 registros para examinar se tais temas se convertem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sustentável de facilidades, que articula impactos ambientais, sociais e econômicos nos níveis estratégico, tático e operacional (Nielsen, Sarasoja, and Galamba 2016; Okoro 2023), e com avaliações de edifícios educacionais que combinam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Dimensões de sustentabilidade identificadas no núcleo temático vigente</w:t>
      </w:r>
    </w:p>
    <w:p>
      <w:pPr>
        <w:pStyle w:val="BodyText"/>
        <w:rPr/>
      </w:pPr>
      <w:r>
        <w:rPr/>
        <w:t>A referência explícita aos ODS apareceu em um registro, que integrou sustentabilidade, AHP, TOPSIS e otimização na alocação de prestadores de manutenção pública (Masmoudi et al. 2026). ESG não foi identificado nos campos auditados, embora componentes ambientais, sociais e institucionais fossem frequentes. A comparação com a literatura recente indica que o uso explícito desse vocabulário em gestão de facilidades ainda é emergente (Ramantswana et al. 2026).</w:t>
      </w:r>
    </w:p>
    <w:p>
      <w:pPr>
        <w:pStyle w:val="BodyText"/>
        <w:rPr/>
      </w:pPr>
      <w:r>
        <w:rPr/>
        <w:t>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Para a gestão pública universitária, desempenho sustenta indicadores de continuidade e falha; informação, requisitos de rastreabilidade; e custo, a distinção entre correção emergencial, manutenção planejada e renovação. Estudos com registros de pagamento (Kim et al. 2018) e planejamento conjunto de manutenção, renovação e energia (Nägeli et al. 2019) reforçam essa combinação.</w:t>
      </w:r>
    </w:p>
    <w:p>
      <w:pPr>
        <w:pStyle w:val="BodyText"/>
        <w:rPr/>
      </w:pPr>
      <w:bookmarkStart w:id="18" w:name="sec%3Acriterios"/>
      <w:r>
        <w:rPr/>
        <w:t>As leituras integrais qualificam os mecanismos subjacentes. Aliu et al. (2025) reportam duas bases de cálculo distintas: a operação e a manutenção podem superar 80% do custo total do ciclo de vida, enquanto os custos anuais de operação e manutenção podem representar entre 50% e 70% dos custos operacionais. Othman and Kamal (2023) 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Em resposta à RQ3, a categoria ampla </w:t>
      </w:r>
      <w:r>
        <w:rPr>
          <w:rStyle w:val="VerbatimChar"/>
        </w:rPr>
        <w:t>framework</w:t>
      </w:r>
      <w:r>
        <w:rPr/>
        <w:t xml:space="preserve"> foi atribuída a 101 registros. A modelagem da informação da construção (BIM, do inglês </w:t>
      </w:r>
      <w:r>
        <w:rPr>
          <w:i/>
          <w:iCs/>
        </w:rPr>
        <w:t>Building Information Modeling</w:t>
      </w:r>
      <w:r>
        <w:rPr/>
        <w:t xml:space="preserve">) aparece em 28 registros, e a categoria de apoio à decisão, registrada no manual como </w:t>
      </w:r>
      <w:r>
        <w:rPr>
          <w:rStyle w:val="VerbatimChar"/>
        </w:rPr>
        <w:t>decision_support</w:t>
      </w:r>
      <w:r>
        <w:rPr/>
        <w:t xml:space="preserve">, em 29. Seguem-se aprendizado de máquina em 26, otimização em 19, pontuação em 17 e custo do ciclo de vida em 16. Entre os métodos nomeados, AHP ocorre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reúne estruturas, modelos e referenciais; não equivale, por si, a método multicritério aplicado ou validado.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presença que indica trajetória tecnológica, não maturidade das universidades públicas. Aprendizado de máquina, tema da busca complementar de sensibilidade (Seção </w:t>
      </w:r>
      <w:hyperlink w:anchor="sec%3Abuscaia">
        <w:r>
          <w:rPr>
            <w:rStyle w:val="Hyperlink"/>
          </w:rPr>
          <w:t>3.4</w:t>
        </w:r>
      </w:hyperlink>
      <w:r>
        <w:rPr/>
        <w:t>), passou de nove para 26 registros (21,5%) entre o núcleo original e o núcleo vigente. Esse aumento decorre do desenho da rodada complementar e não constitui estimativa de prevalência independente no campo. Os demais métodos cresceram de forma modesta e proporcional ao aumento geral do núcleo.</w:t>
      </w:r>
    </w:p>
    <w:p>
      <w:pPr>
        <w:pStyle w:val="BodyText"/>
        <w:rPr/>
      </w:pPr>
      <w:r>
        <w:rPr/>
        <w:t xml:space="preserve">Esses resultados não tornam BIM, </w:t>
      </w:r>
      <w:r>
        <w:rPr>
          <w:i/>
          <w:iCs/>
        </w:rPr>
        <w:t>digital twin</w:t>
      </w:r>
      <w:r>
        <w:rPr/>
        <w:t xml:space="preserve"> ou aprendizado de máquina requisitos para a especificação proposta. A arquitetura informacional deve funcionar com planilhas, cadastros, inspeções e ordens de serviço e admitir integração progressiva a plataformas digitais ou módulos preditivos, condicionada à validação do desempenho em operação real. As aplicações mais completas de apoio multicritério no núcleo exercem funções distintas: ANP difuso na avaliação de edifícios educacionais (Alfalah et al. 2022), Delphi modificado em gestão de </w:t>
      </w:r>
      <w:r>
        <w:rPr>
          <w:i/>
          <w:iCs/>
        </w:rPr>
        <w:t>campus</w:t>
      </w:r>
      <w:r>
        <w:rPr/>
        <w:t xml:space="preserve"> (Naji, Gunduz, and Maki 2023) e AHP, TOPSIS e otimização na alocação de prestadores públicos (Masmoudi et al. 2026). Essas aplicações são retomadas por remissão nas seções seguintes, sem repetição do mesmo agrupamento de referências.</w:t>
      </w:r>
    </w:p>
    <w:p>
      <w:pPr>
        <w:pStyle w:val="BodyText"/>
        <w:rPr/>
      </w:pPr>
      <w:r>
        <w:rP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 (Motuzienė et al. 2025); regressão em grafos para estimar vida útil de componentes, na qual a GCN alcançou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previsão conjunta de eletricidade, gás e água, com separação entre treino, validação e teste e erros distintos por variável (Suh and Chang 2012).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rPr/>
      </w:pPr>
      <w:r>
        <w:rPr/>
        <w:t>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 (Das 2025).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 (Alici 2026). Em resposta à RQ6, a busca de sensibilidade revela uma camada relevante de evidências preditivas, diagnósticas e operacionais, mas não demonstra integração sistemática com ponderação institucional, regras de veto ou métodos multicritério. O módulo computacional pode informar critérios; não substitui a decisão pública.</w:t>
      </w:r>
    </w:p>
    <w:p>
      <w:pPr>
        <w:pStyle w:val="BodyText"/>
        <w:rPr/>
      </w:pPr>
      <w:r>
        <w:rPr/>
        <w:t>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Em três estudos, a saída se aproxima de uma ação operacional ou recomendação direta;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rPr/>
      </w:pPr>
      <w:r>
        <w:rPr/>
        <w:t xml:space="preserve">Além do lote de sensibilidade, as leituras integrais do núcleo original distinguem integração informacional, simulação e estruturação decisória. A revisão de 123 estudos não encontrou </w:t>
      </w:r>
      <w:r>
        <w:rPr>
          <w:i/>
          <w:iCs/>
        </w:rPr>
        <w:t>digital twin</w:t>
      </w:r>
      <w:r>
        <w:rPr/>
        <w:t xml:space="preserve"> com controle, otimização e retroalimentação plenos (Deng, Menassa, and Kamat 2021); outros trabalhos propõem ontologia de ativos, BIM 7D e comparação de estratégias por simulação (Espinosa Gispert et al. 2025; Goretti and Kaming 2023; Ferreira et al. 2020). No plano decisório, foram identificados um sistema conceitual Lean Six Sigma sem validação empírica, uma avaliação sintética fuzzy e um modelo de raciocínio baseado em casos com Fuzzy-AHP (Aldairi, Khan, and Munive-Hernandez 2017; Yoon and Cha 2018; Park, Kwon, and Ahn 2019). Esses casos confirmam que menção a método, aplicação formal e validação são níveis analíticos distintos; não demonstram adoção institucional generalizada.</w:t>
      </w:r>
      <w:bookmarkEnd w:id="19"/>
    </w:p>
    <w:p>
      <w:pPr>
        <w:pStyle w:val="Heading1"/>
        <w:rPr/>
      </w:pPr>
      <w:bookmarkStart w:id="20" w:name="sec%3Aaplicabilidade"/>
      <w:r>
        <w:rPr/>
        <w:t>Aplicabilidade a edificações públicas universitárias</w:t>
      </w:r>
    </w:p>
    <w:p>
      <w:pPr>
        <w:pStyle w:val="FirstParagraph"/>
        <w:rPr/>
      </w:pPr>
      <w:r>
        <w:rP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 </w:t>
      </w:r>
      <w:r>
        <w:rPr>
          <w:i/>
          <w:iCs/>
        </w:rPr>
        <w:t>campus</w:t>
      </w:r>
      <w:r>
        <w:rPr/>
        <w:t>,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Esses resultados sustentam o registro de fonte e data dos dados, ausências, unidade comparada, vetos e histórico de parâmetros, usando entradas simples e exportáveis para prestação de contas.</w:t>
      </w:r>
    </w:p>
    <w:p>
      <w:pPr>
        <w:pStyle w:val="BodyText"/>
        <w:rPr/>
      </w:pPr>
      <w:r>
        <w:rPr/>
        <w:t xml:space="preserve">Em resposta à RQ5, 76 registros (62,8%) apresentaram alguma lacuna ou limitação identificável no resumo, enquanto 45 (37,2%) não continham lacuna identificável nesse nível documental. No campo </w:t>
      </w:r>
      <w:r>
        <w:rPr>
          <w:rStyle w:val="VerbatimChar"/>
        </w:rPr>
        <w:t>tipo_contribuicao_artigo</w:t>
      </w:r>
      <w:r>
        <w:rPr/>
        <w:t xml:space="preserve">, 12 registros (9,9%) foram classificados especificamente como </w:t>
      </w:r>
      <w:r>
        <w:rPr>
          <w:rStyle w:val="VerbatimChar"/>
        </w:rPr>
        <w:t>lacuna_para_ies_publicas</w:t>
      </w:r>
      <w:r>
        <w:rPr/>
        <w:t>. Essa categoria registra limitações de transferência, cobertura ou validação diretamente relacionadas a instituições públicas de ensino superior; os identificadores dos 12 registros estão preservados na tabela-fonte de lacunas do núcleo vigente.</w:t>
      </w:r>
    </w:p>
    <w:p>
      <w:pPr>
        <w:pStyle w:val="BodyText"/>
        <w:rPr/>
      </w:pPr>
      <w:r>
        <w:rPr/>
        <w:t xml:space="preserve">A baixa frequência de universidade, </w:t>
      </w:r>
      <w:r>
        <w:rPr>
          <w:i/>
          <w:iCs/>
        </w:rPr>
        <w:t>campus</w:t>
      </w:r>
      <w:r>
        <w:rPr/>
        <w:t xml:space="preserve"> e edifício público limita a evidência diretamente transferível a portfólios heterogêneos, com restrições orçamentárias, continuidade acadêmica e múltiplos usuários. A busca de sensibilidade para inteligência artificial (Seção </w:t>
      </w:r>
      <w:hyperlink w:anchor="sec%3Abuscaia">
        <w:r>
          <w:rPr>
            <w:rStyle w:val="Hyperlink"/>
          </w:rPr>
          <w:t>3.4</w:t>
        </w:r>
      </w:hyperlink>
      <w:r>
        <w:rPr/>
        <w:t xml:space="preserve">) elevou o contexto universitário de 11 para 14 registros, sem alterar essa conclusão: os três estudos promovidos ao núcleo vêm do mesmo </w:t>
      </w:r>
      <w:r>
        <w:rPr>
          <w:i/>
          <w:iCs/>
        </w:rPr>
        <w:t>campus</w:t>
      </w:r>
      <w:r>
        <w:rPr/>
        <w:t xml:space="preserve"> universitário taiwanês, a </w:t>
      </w:r>
      <w:r>
        <w:rPr>
          <w:i/>
          <w:iCs/>
        </w:rPr>
        <w:t>National Taiwan University</w:t>
      </w:r>
      <w:r>
        <w:rPr/>
        <w:t>, representando concentração em uma única instituição, não diversificação do contexto universitário.</w:t>
      </w:r>
    </w:p>
    <w:p>
      <w:pPr>
        <w:pStyle w:val="BodyText"/>
        <w:rPr/>
      </w:pPr>
      <w:r>
        <w:rPr/>
        <w:t xml:space="preserve">Estudos conduzidos em contextos africanos sugerem que, em universidades e instituições de ensino, resiliência institucional, governança, usuários e continuidade das atividades precisam ser considerados juntamente com a condição física (Awuzie and Isa 2017; Ndukuba 2025). Esses achados não são automaticamente generalizáveis às universidades públicas brasileiras e funcionam como hipóteses de transferência a serem validadas localmente. Em texto completo, um instrumento estrangeiro exigiu adaptação e concordância profissional em hospital público (Talib, Rajagopalan, and Yang 2013); três projetos mostraram perda de informação na transição entre construção e operação, enfrentada pela integração de BIM, </w:t>
      </w:r>
      <w:r>
        <w:rPr>
          <w:i/>
          <w:iCs/>
        </w:rPr>
        <w:t>Soft Landings</w:t>
      </w:r>
      <w:r>
        <w:rPr/>
        <w:t xml:space="preserve"> e comunicação (Tan, Zaman, and Sutrisna 2018). Em conjunto, as evidências sustentam governança da informação e validação contextual, sem equivaler a validação da especificação proposta.</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 coocorrência documental entre os dez critérios e os dez instrumentos de apoio à decisão mais frequentes. Desempenho operacional e </w:t>
      </w:r>
      <w:r>
        <w:rPr>
          <w:rStyle w:val="VerbatimChar"/>
        </w:rPr>
        <w:t>framework</w:t>
      </w:r>
      <w:r>
        <w:rPr/>
        <w:t xml:space="preserve"> aparecem conjuntamente em 90 registros; informação e dados têm 75 coocorrências com </w:t>
      </w:r>
      <w:r>
        <w:rPr>
          <w:rStyle w:val="VerbatimChar"/>
        </w:rPr>
        <w:t>framework</w:t>
      </w:r>
      <w:r>
        <w:rPr/>
        <w:t xml:space="preserve"> e 28 com BIM; custo e </w:t>
      </w:r>
      <w:r>
        <w:rPr>
          <w:rStyle w:val="VerbatimChar"/>
        </w:rPr>
        <w:t>framework</w:t>
      </w:r>
      <w:r>
        <w:rPr/>
        <w:t xml:space="preserve"> aparecem em 57; e vida útil e custo do ciclo de vida, em 16. Essas relações registram codificação simultânea, sem comprovar operacionalização conjunta, associação estatística ou causalidade.</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as coocorrências em cinco dimensões. A técnica-operacional apresenta 100 coocorrências com </w:t>
      </w:r>
      <w:r>
        <w:rPr>
          <w:rStyle w:val="VerbatimChar"/>
        </w:rPr>
        <w:t>framework</w:t>
      </w:r>
      <w:r>
        <w:rPr/>
        <w:t xml:space="preserve">, 28 com a categoria </w:t>
      </w:r>
      <w:r>
        <w:rPr>
          <w:rStyle w:val="VerbatimChar"/>
        </w:rPr>
        <w:t>decision_support</w:t>
      </w:r>
      <w:r>
        <w:rPr/>
        <w:t xml:space="preserve"> e 28 com BIM; a institucional tem 88 com </w:t>
      </w:r>
      <w:r>
        <w:rPr>
          <w:rStyle w:val="VerbatimChar"/>
        </w:rPr>
        <w:t>framework</w:t>
      </w:r>
      <w:r>
        <w:rPr/>
        <w:t>, seguida da ambiental com 81, da econômica com 56 e da social com 54. A dimensão ciclo de vida, identificada em 65 registros, não forma grupo independente: ela funciona como eixo transversal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Matriz de coocorrência entre dimensões de sustentabilidade e instrumentos de apoio à decisão</w:t>
      </w:r>
    </w:p>
    <w:p>
      <w:pPr>
        <w:pStyle w:val="BodyText"/>
        <w:rPr/>
      </w:pPr>
      <w:r>
        <w:rPr/>
        <w:t>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documentais sustentam a seleção inicial dos critérios, mas não constituem pesos nem definem sua importância normativa.</w:t>
      </w:r>
    </w:p>
    <w:p>
      <w:pPr>
        <w:pStyle w:val="BodyText"/>
        <w:rPr/>
      </w:pPr>
      <w:r>
        <w:rPr/>
        <w:t>A Tabela </w:t>
      </w:r>
      <w:hyperlink w:anchor="tab%3Aprotocolooperacional">
        <w:r>
          <w:rPr>
            <w:rStyle w:val="Hyperlink"/>
          </w:rPr>
          <w:t>11</w:t>
        </w:r>
      </w:hyperlink>
      <w:r>
        <w:rPr/>
        <w:t xml:space="preserve"> explicita a rastreabilidade entre os critérios candidatos e as evidências da revisão. A Tabela </w:t>
      </w:r>
      <w:hyperlink w:anchor="tab%3Aespecificacaoindicadores">
        <w:r>
          <w:rPr>
            <w:rStyle w:val="Hyperlink"/>
          </w:rPr>
          <w:t>12</w:t>
        </w:r>
      </w:hyperlink>
      <w:r>
        <w:rPr/>
        <w:t xml:space="preserve"> apresenta, separadamente, uma proposição autoral de indicadores, fontes, periodicidades e direções de preferência para futura validação. Essa separação evita atribuir à literatura parametrizações operacionais que não foram extraídas diretamente dos estudos.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 preferência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menor</w:t>
            </w:r>
          </w:p>
        </w:tc>
      </w:tr>
    </w:tbl>
    <w:p>
      <w:pPr>
        <w:pStyle w:val="Normal"/>
        <w:rPr/>
      </w:pPr>
      <w:r>
        <w:rPr/>
      </w:r>
    </w:p>
    <w:p>
      <w:pPr>
        <w:pStyle w:val="BodyText"/>
        <w:rPr/>
      </w:pPr>
      <w:r>
        <w:rPr/>
        <w:t>O fluxo de validação e futura parametrização está resumido na Figura </w:t>
      </w:r>
      <w:hyperlink w:anchor="fig%3Afluxoprotocolo">
        <w:r>
          <w:rPr>
            <w:rStyle w:val="Hyperlink"/>
          </w:rPr>
          <w:t>11</w:t>
        </w:r>
      </w:hyperlink>
      <w:r>
        <w:rPr/>
        <w:t>. A unidade de comparação deve ser definida antes da coleta; critérios e indicadores são validados antes da elicitação dos pesos; e qualquer prioridade somente deve ser divulgada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A etapa 4 permanece deliberadamente sem método, pesos ou função de agregação definidos. As aplicações descritas na Seção </w:t>
      </w:r>
      <w:hyperlink w:anchor="sec%3Ametodos">
        <w:r>
          <w:rPr>
            <w:rStyle w:val="Hyperlink"/>
          </w:rPr>
          <w:t>7</w:t>
        </w:r>
      </w:hyperlink>
      <w:r>
        <w:rPr/>
        <w:t xml:space="preserve"> mostram que Delphi, AHP, TOPSIS, ANP e outros procedimentos podem cumprir funções diferentes; a escolha depende do problema decisório, da participação institucional, da qualidade dos dados e do grau de compensação admissível. A análise de sensibilidade deve variar pesos, limiares e tratamento de dados ausentes. Risco estrutural, risco à vida, incêndio e descumprimento legal são propostos como vetos não compensatórios, cujos limiares devem ser definidos por norma, laudo ou autoridade competente (Associação Brasileira de Normas Técnicas 2012; Araújo Neto 2015). O ciclo de vida permanece transversal para evitar dupla contagem.</w:t>
      </w:r>
    </w:p>
    <w:p>
      <w:pPr>
        <w:pStyle w:val="BodyText"/>
        <w:rPr/>
      </w:pPr>
      <w:bookmarkStart w:id="22" w:name="sec%3Amatriz"/>
      <w:r>
        <w:rPr/>
        <w:t>Em nível de especificação, a matriz responde à RQ0 ao converter dimensões e critérios recorrentes em indicadores candidatos e em etapas verificáveis de validação. Ela não constitui método multicritério parametrizado, modelo validado ou instrumento pronto para decisão. Indicadores, normalização, pesos, função de agregação, limiares e vetos precisam ser validados com participação institucional e dados reais.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A literatura converge para uma manutenção entendida como gestão de ativos e facilidades, combinando desempenho, governança, ambiente, ciclo de vida, custos e usuários (Nielsen, Sarasoja, and Galamba 2016; Opoku and Lee 2022; Okoro 2023). A concentração de 83,5% do núcleo temático entre 2019 e 2026 e o crescimento relativo de BIM, </w:t>
      </w:r>
      <w:r>
        <w:rPr>
          <w:i/>
          <w:iCs/>
        </w:rPr>
        <w:t>digital twin</w:t>
      </w:r>
      <w:r>
        <w:rPr/>
        <w:t>, carbono e avaliação do ciclo de vida indicam mudança de vocabulário, não causalidade ou substituição dos temas tradicionais. A rede conecta BIM a gestão de facilidades, manutenção preditiva, operação e desempenho; as leituras integrais mostram que essa conexão abrange integração de dados, previsão, simulação e estruturação decisória parcial (Deng, Menassa, and Kamat 2021; Espinosa Gispert et al. 2025; Goretti and Kaming 2023; Das 2025). O campo avança em capacidade informacional, mas permanece heterogêneo em interoperabilidade, validação e integração institucional (Deng, Menassa, and Kamat 2021; Das 2025; Alici 2026).</w:t>
      </w:r>
    </w:p>
    <w:p>
      <w:pPr>
        <w:pStyle w:val="BodyText"/>
        <w:rPr/>
      </w:pPr>
      <w:r>
        <w:rPr/>
        <w:t>A RQ6 qualifica esse diagnóstico sem redefinir o objeto principal da revisão. Como detalhado nas Seções </w:t>
      </w:r>
      <w:hyperlink w:anchor="sec%3Abuscaia">
        <w:r>
          <w:rPr>
            <w:rStyle w:val="Hyperlink"/>
          </w:rPr>
          <w:t>3.4</w:t>
        </w:r>
      </w:hyperlink>
      <w:r>
        <w:rPr/>
        <w:t xml:space="preserve"> e </w:t>
      </w:r>
      <w:hyperlink w:anchor="sec%3Ametodos">
        <w:r>
          <w:rPr>
            <w:rStyle w:val="Hyperlink"/>
          </w:rPr>
          <w:t>7</w:t>
        </w:r>
      </w:hyperlink>
      <w:r>
        <w:rPr/>
        <w:t xml:space="preserve">, manutenção preditiva, BIM, </w:t>
      </w:r>
      <w:r>
        <w:rPr>
          <w:i/>
          <w:iCs/>
        </w:rPr>
        <w:t>digital twin</w:t>
      </w:r>
      <w:r>
        <w:rPr/>
        <w:t xml:space="preserve"> e IoT não foram tratados como prova automática de IA. A busca de sensibilidade ampliou a recuperação de modelos preditivos e diagnósticos, mas nenhum dos 17 registros incorporados documentou a cadeia completa entre validação externa, preferência institucional, ponderação, veto e decisão pública. Assim, acurácia preditiva e legitimidade decisória pertencem a níveis distintos (Das 2025; Alfalah et al. 2022).</w:t>
      </w:r>
      <w:bookmarkEnd w:id="24"/>
    </w:p>
    <w:p>
      <w:pPr>
        <w:pStyle w:val="Heading2"/>
        <w:rPr/>
      </w:pPr>
      <w:bookmarkStart w:id="25" w:name="lacuna-entre-estrutura-e-decisão"/>
      <w:r>
        <w:rPr/>
        <w:t>Lacuna entre estrutura e decisão</w:t>
      </w:r>
    </w:p>
    <w:p>
      <w:pPr>
        <w:pStyle w:val="FirstParagraph"/>
        <w:rPr/>
      </w:pPr>
      <w:r>
        <w:rPr/>
        <w:t xml:space="preserve">A presença de </w:t>
      </w:r>
      <w:r>
        <w:rPr>
          <w:rStyle w:val="VerbatimChar"/>
        </w:rPr>
        <w:t>framework</w:t>
      </w:r>
      <w:r>
        <w:rPr/>
        <w:t xml:space="preserve"> em quase todo o núcleo contrasta com a menor frequência de métodos multicritério nomeados. Propor uma estrutura ou mencionar apoio à decisão não equivale a definir indicadores, normalizar, ponderar, agregar, testar sensibilidade e validar. As aplicações mais completas do núcleo, apresentadas na Seção </w:t>
      </w:r>
      <w:hyperlink w:anchor="sec%3Ametodos">
        <w:r>
          <w:rPr>
            <w:rStyle w:val="Hyperlink"/>
          </w:rPr>
          <w:t>7</w:t>
        </w:r>
      </w:hyperlink>
      <w:r>
        <w:rPr/>
        <w:t>, demonstram funções específicas de ANP, Delphi, AHP, TOPSIS e otimização, mas não fornecem um modelo diretamente transferível à gestão universitária pública. A lacuna central não é a ausência de critérios; é a falta de uma cadeia documentada entre evidência, variável mensurável, preferência institucional e decisão validada, padrão compatível com a fragmentação observada entre integração informacional e estruturação decisória (Deng, Menassa, and Kamat 2021; Das 2025).</w:t>
      </w:r>
      <w:bookmarkEnd w:id="25"/>
    </w:p>
    <w:p>
      <w:pPr>
        <w:pStyle w:val="Heading2"/>
        <w:rPr/>
      </w:pPr>
      <w:bookmarkStart w:id="26" w:name="especificidade-pública-universitária"/>
      <w:r>
        <w:rPr/>
        <w:t>Especificidade pública universitária</w:t>
      </w:r>
    </w:p>
    <w:p>
      <w:pPr>
        <w:pStyle w:val="FirstParagraph"/>
        <w:rPr/>
      </w:pPr>
      <w:r>
        <w:rPr/>
        <w:t xml:space="preserve">Universidades, </w:t>
      </w:r>
      <w:r>
        <w:rPr>
          <w:i/>
          <w:iCs/>
        </w:rPr>
        <w:t>campus</w:t>
      </w:r>
      <w:r>
        <w:rPr/>
        <w:t xml:space="preserve"> e edifícios públicos representam parcelas menores que edificações genéricas e portfólios. Estudos realizados em universidades e instituições de ensino africanas indicam que diversidade de usuários, continuidade acadêmica, orçamento, resiliência e governança precisam ser considerados juntamente com a condição física (Awuzie and Isa 2017; Ndukuba 2025). A transferência desses achados ao contexto brasileiro exige validação institucional, como também sugerem estudos sobre adaptação de instrumentos e integração de dados em outros contextos públicos (Talib, Rajagopalan, and Yang 2013; Tan, Zaman, and Sutrisna 2018). Ordens de serviço e séries de custos apoiam diagnóstico e previsão, desde que possuam cadastro consistente e vínculo com ativos e intervenções (Martins and Espejo 2024; Morais, Paula, and Reis 2023).</w:t>
      </w:r>
    </w:p>
    <w:p>
      <w:pPr>
        <w:pStyle w:val="BodyText"/>
        <w:rPr/>
      </w:pPr>
      <w:bookmarkStart w:id="27" w:name="especificidade-pública-universitária"/>
      <w:r>
        <w:rPr/>
        <w:t>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 (Ramantswana et al. 2026).</w:t>
      </w:r>
      <w:bookmarkEnd w:id="27"/>
    </w:p>
    <w:p>
      <w:pPr>
        <w:pStyle w:val="Heading2"/>
        <w:rPr/>
      </w:pPr>
      <w:bookmarkStart w:id="28" w:name="contribuição-e-limites-da-especificação"/>
      <w:r>
        <w:rPr/>
        <w:t>Contribuição e limites da especificação</w:t>
      </w:r>
    </w:p>
    <w:p>
      <w:pPr>
        <w:pStyle w:val="FirstParagraph"/>
        <w:rPr/>
      </w:pPr>
      <w:r>
        <w:rPr/>
        <w:t>A contribuição proposta liga critérios sustentados pela revisão a indicadores candidatos e a um fluxo de validação. A rastreabilidade explica por que desempenho, informação, condição, conformidade, custo, energia e usuários foram selecionados; a parametrização operacional da Tabela </w:t>
      </w:r>
      <w:hyperlink w:anchor="tab%3Aespecificacaoindicadores">
        <w:r>
          <w:rPr>
            <w:rStyle w:val="Hyperlink"/>
          </w:rPr>
          <w:t>12</w:t>
        </w:r>
      </w:hyperlink>
      <w:r>
        <w:rPr/>
        <w:t>, porém, é proposição do autor e não resultado extraído diretamente da literatura. O fluxo separa validação de conteúdo, qualidade dos dados, normalização, ponderação, agregação, vetos e sensibilidade. Vetos candidatos impedem que risco à vida ou ilegalidade sejam compensados por vantagens econômicas ou ambientais, em coerência com requisitos normativos e responsabilidades administrativas da manutenção predial (Associação Brasileira de Normas Técnicas 2012; Araújo Neto 2015).</w:t>
      </w:r>
    </w:p>
    <w:p>
      <w:pPr>
        <w:pStyle w:val="BodyText"/>
        <w:rPr/>
      </w:pPr>
      <w:bookmarkStart w:id="29" w:name="sec%3Adiscussao"/>
      <w:bookmarkStart w:id="30" w:name="contribuição-e-limites-da-especificação"/>
      <w:r>
        <w:rPr/>
        <w:t>A especificação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base auditável para parametrização e validação futuras, não um protocolo multicritério pronto.</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rPr/>
      </w:pPr>
      <w:r>
        <w:rPr>
          <w:b/>
          <w:bCs/>
        </w:rPr>
        <w:t>Extração e força de evidência.</w:t>
      </w:r>
      <w:r>
        <w:rPr/>
        <w:t xml:space="preserve"> O núcleo temático vigente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rPr/>
      </w:pPr>
      <w:r>
        <w:rPr>
          <w:b/>
          <w:bCs/>
        </w:rPr>
        <w:t>Busca de sensibilidade para IA.</w:t>
      </w:r>
      <w:r>
        <w:rPr/>
        <w:t xml:space="preserve"> Os 4.889 registros foram classificados por correspondência de termos ao dicionário RQ6; os 20 candidatos ao núcleo tiveram título e resumo revisados individualmente, conforme o funil apresentado na Seção </w:t>
      </w:r>
      <w:hyperlink w:anchor="sec%3Abuscaia">
        <w:r>
          <w:rPr>
            <w:rStyle w:val="Hyperlink"/>
          </w:rPr>
          <w:t>3.4</w:t>
        </w:r>
      </w:hyperlink>
      <w:r>
        <w:rPr/>
        <w:t>.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e não deve ser interpretado como prevalência dessas técnicas no campo.</w:t>
      </w:r>
    </w:p>
    <w:p>
      <w:pPr>
        <w:pStyle w:val="BodyText"/>
        <w:rPr/>
      </w:pPr>
      <w:r>
        <w:rPr>
          <w:b/>
          <w:bCs/>
        </w:rPr>
        <w:t>Especificação para parametrização multicritério.</w:t>
      </w:r>
      <w:r>
        <w:rPr/>
        <w:t xml:space="preserve"> A revisão sustenta a seleção inicial dos critérios e a necessidade de rastreabilidade, mas não valida os indicadores, unidades, fontes, periodicidades e direções propostos pelo autor. Normalização, pesos, função de agregação, limiares, vetos e análise de sensibilidade dependem de validação de conteúdo, participação institucional, dados reais e teste de robustez. Portanto, o produto não constitui método multicritério parametrizado nem instrumento pronto para orientar investimentos.</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uma matriz de critérios e indicadores e um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a identificação de aprendizado de máquina de nove para 26 registros, mas esse aumento decorre do desenho da rodada complementar.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Em resposta à RQ5, 12 registros foram codificados com lacunas específicas para instituições públicas de ensino superior, resultado apresentado e definido na Seção </w:t>
      </w:r>
      <w:hyperlink w:anchor="sec%3Aaplicabilidade">
        <w:r>
          <w:rPr>
            <w:rStyle w:val="Hyperlink"/>
          </w:rPr>
          <w:t>8</w:t>
        </w:r>
      </w:hyperlink>
      <w:r>
        <w:rPr/>
        <w:t>. ODS apareceu em um registro e ESG não apareceu nos campos auditados, embora componentes substantivos fossem recorrentes (Masmoudi et al. 2026; Ramantswana et al. 2026).</w:t>
      </w:r>
    </w:p>
    <w:p>
      <w:pPr>
        <w:pStyle w:val="BodyText"/>
        <w:rPr/>
      </w:pPr>
      <w:r>
        <w:rPr/>
        <w:t>A contribuição central é uma especificação operacional candidata e rastreável. A revisão sustenta a seleção inicial dos critérios; indicadores, unidades, fontes, periodicidades e direções são proposições do autor para validação. Pesos, função de agregação, limiares e vetos não foram parametrizados. Assim, o produto não resolve a escassez de recursos nem gera, no estado atual, uma classificação autorizada de investimentos; ele organiza as etapas e os registros necessários para que uma futura decisão multicritério seja testada e auditada.</w:t>
      </w:r>
    </w:p>
    <w:p>
      <w:pPr>
        <w:pStyle w:val="BodyText"/>
        <w:rPr/>
      </w:pPr>
      <w:r>
        <w:rPr/>
        <w:t>Como proposição do autor, a validação futura pode ser organizada em quatro etapas sequenciais, sem que os intervalos de duração sejam definidos antes do diagnóstico institucional:</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Parametrização e protótipo:</w:t>
      </w:r>
      <w:r>
        <w:rPr/>
        <w:t xml:space="preserve"> são definidos método de elicitação, normalização, pesos, função de agregação, limiares, casos retrospectivos e análise de sensibilidade.</w:t>
      </w:r>
    </w:p>
    <w:p>
      <w:pPr>
        <w:pStyle w:val="Normal"/>
        <w:numPr>
          <w:ilvl w:val="0"/>
          <w:numId w:val="1"/>
        </w:numPr>
        <w:rPr/>
      </w:pPr>
      <w:r>
        <w:rPr>
          <w:b/>
          <w:bCs/>
        </w:rPr>
        <w:t>Validação multicampi:</w:t>
      </w:r>
      <w:r>
        <w:rPr/>
        <w:t xml:space="preserve"> são comparadas estabilidade, utilidade decisória e possibilidade de transferência entre unidades e outros portfólios públicos.</w:t>
      </w:r>
    </w:p>
    <w:p>
      <w:pPr>
        <w:pStyle w:val="FirstParagraph"/>
        <w:rPr/>
      </w:pPr>
      <w:r>
        <w:rPr/>
        <w:t>Até a validação empírica e institucional, a contribuição permanece uma base reproduzível para parametrização e teste, não um protocolo multicritério pronto para orientar investimentos.</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2026-07-14T12:44:59Z</dcterms:created>
  <dc:creator>Adinailson Guimarães de Oliveira Programa de Pós-Graduação em Biossistemas Universidade Federal do Sul da Bahia (UFSB)</dc:creator>
  <dc:description/>
  <dc:language>en-US</dc:language>
  <cp:lastModifiedBy/>
  <dcterms:modified xsi:type="dcterms:W3CDTF">2026-07-14T12:44:59Z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