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Naji, Gunduz, and Maki 2023; Masmoudi et al. 2026).</w:t>
      </w:r>
    </w:p>
    <w:p>
      <w:pPr>
        <w:pStyle w:val="BodyText"/>
        <w:rPr/>
      </w:pPr>
      <w:r>
        <w:rPr/>
        <w:t>A literatura sustenta cinco correntes complementares que orientam a conversão dessa evidência em especificação operacional, com núcleo analítico, contribuição e lacuna de integração sintetizados na Tabela </w:t>
      </w:r>
      <w:hyperlink w:anchor="tab%3Acorrentesteoricas">
        <w:r>
          <w:rPr>
            <w:rStyle w:val="Hyperlink"/>
          </w:rPr>
          <w:t>1</w:t>
        </w:r>
      </w:hyperlink>
      <w:r>
        <w:rPr/>
        <w:t xml:space="preserve"> (Nägeli et al. 2019; Nielsen, Sarasoja, and Galamba 2016; Alfalah et al. 2022; Deng, Menassa, and Kamat 2021; Masmoudi et al. 2026). A corrente técnica-operacional deriva de ciclo de vida e confiabilidade do ativo (Nägeli et al. 2019; Othman and Kamal 2023; Chew and Conejos 2016; Conejos, Chew, and Azril 2019); a ambiental integra energia, emissões e efeitos intertemporais à gestão de facilidades (Nielsen, Sarasoja, and Galamba 2016; Opoku and Lee 2022; Okoro 2023);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(Deng, Menassa, and Kamat 2021; Espinosa Gispert et al. 2025; Goretti and Kaming 2023; Motuzienė et al. 2025; Wu and Mundt-Petersen 2025; Das 2025); e a de integração multicritério estrutura conflitos entre objetivos por AHP, TOPSIS, ANP, Delphi e lógica </w:t>
      </w:r>
      <w:r>
        <w:rPr>
          <w:i/>
          <w:iCs/>
        </w:rPr>
        <w:t>fuzzy</w:t>
      </w:r>
      <w:r>
        <w:rPr/>
        <w:t xml:space="preserve"> (Alfalah et al. 2022; Naji, Gunduz, and Maki 2023; Masmoudi et al. 2026).</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Ferramentas informacionais e preditivas produzem dados, diagnósticos e estimativas, mas a conexão entre essa produção e uma decisão administrativa validada permanece fragmentada. Este artigo estabelece uma conexão rastreável entre evidência científica, dimensão, critério, indicador observável, parametrização multicritério futura, veto não compensatório e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(Whittemore and Knafl 2005; Snyder 2019).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w:t>
      </w:r>
      <w:hyperlink w:anchor="sec%3Apanorama">
        <w:r>
          <w:rPr>
            <w:rStyle w:val="Hyperlink"/>
          </w:rPr>
          <w:t>3.1</w:t>
        </w:r>
      </w:hyperlink>
      <w:r>
        <w:rPr/>
        <w:t>).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w:t>
      </w:r>
      <w:hyperlink w:anchor="tab%3Aestrategiabusca">
        <w:r>
          <w:rPr>
            <w:rStyle w:val="Hyperlink"/>
          </w:rPr>
          <w:t>4</w:t>
        </w:r>
      </w:hyperlink>
      <w:r>
        <w:rPr/>
        <w:t>). A soma de 18.846 ocorrências entre as duas rodadas corresponde apenas ao volume operacional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w:t>
      </w:r>
      <w:hyperlink w:anchor="tab%3Acriteriosincluexclu">
        <w:r>
          <w:rPr>
            <w:rStyle w:val="Hyperlink"/>
          </w:rPr>
          <w:t>5</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consultas de origem e identificadores brutos, mantendo o resumo mais longo disponível e selecionando os demais metadados por completude e prioridade de fonte.</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w:t>
      </w:r>
      <w:hyperlink w:anchor="tab%3Afunilselecao">
        <w:r>
          <w:rPr>
            <w:rStyle w:val="Hyperlink"/>
          </w:rPr>
          <w:t>6</w:t>
        </w:r>
      </w:hyperlink>
      <w:r>
        <w:rPr/>
        <w:t xml:space="preserve"> preserva a rastreabilidade da busca principal até o núcleo original de 104 registros, e a Figura </w:t>
      </w:r>
      <w:hyperlink w:anchor="fig%3Afunil">
        <w:r>
          <w:rPr>
            <w:rStyle w:val="Hyperlink"/>
          </w:rPr>
          <w:t>1</w:t>
        </w:r>
      </w:hyperlink>
      <w:r>
        <w:rPr/>
        <w:t xml:space="preserve"> integra esse percurso à busca de sensibilidade, explicitando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2"/>
    </w:p>
    <w:p>
      <w:pPr>
        <w:pStyle w:val="Heading2"/>
        <w:rPr/>
      </w:pPr>
      <w:bookmarkStart w:id="13" w:name="sec%3Abuscaia"/>
      <w:r>
        <w:rPr/>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w:t>
      </w:r>
      <w:hyperlink w:anchor="tab%3Aestrategiabusca">
        <w:r>
          <w:rPr>
            <w:rStyle w:val="Hyperlink"/>
          </w:rPr>
          <w:t>4</w:t>
        </w:r>
      </w:hyperlink>
      <w:r>
        <w:rPr/>
        <w:t>).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exclusivamente na revisão ortográfica, textual e de adequação formal às normas editoriais do periódico, sem uso na concepção, coleta, análise ou geração de conteúdo científico.</w:t>
      </w:r>
      <w:bookmarkEnd w:id="16"/>
      <w:bookmarkEnd w:id="17"/>
    </w:p>
    <w:p>
      <w:pPr>
        <w:pStyle w:val="Heading1"/>
        <w:rPr/>
      </w:pPr>
      <w:bookmarkStart w:id="18" w:name="sec%3Aresultados"/>
      <w:r>
        <w:rPr/>
        <w:t>Resultados e discussão</w:t>
      </w:r>
    </w:p>
    <w:p>
      <w:pPr>
        <w:pStyle w:val="Heading2"/>
        <w:rPr/>
      </w:pPr>
      <w:bookmarkStart w:id="19" w:name="sec%3Apanorama"/>
      <w:r>
        <w:rPr/>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2.5</w:t>
        </w:r>
      </w:hyperlink>
      <w:r>
        <w:rPr/>
        <w:t>). Entre 2019 e 2026 concentram-se 101 registros (83,5%), com máximo de 29 estudos em 2025 (Gráfico </w:t>
      </w:r>
      <w:hyperlink w:anchor="fig%3Atemporal">
        <w:r>
          <w:rPr>
            <w:rStyle w:val="Hyperlink"/>
          </w:rPr>
          <w:t>2</w:t>
        </w:r>
      </w:hyperlink>
      <w:r>
        <w:rPr/>
        <w:t>). A deduplicação preservou a proveniência múltipla. Sessenta e sete registros vieram apenas da Scopus, 41 da Scopus e da Web of Science, sete apenas da Web of Science, três das três bases, dois da Scopus e do Crossref e um apenas do Crossref (Tabela </w:t>
      </w:r>
      <w:hyperlink w:anchor="tab%3Abasetipo">
        <w:r>
          <w:rPr>
            <w:rStyle w:val="Hyperlink"/>
          </w:rPr>
          <w:t>7</w:t>
        </w:r>
      </w:hyperlink>
      <w:r>
        <w:rPr/>
        <w:t>).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w:t>
      </w:r>
      <w:hyperlink w:anchor="tab%3Abasetipo">
        <w:r>
          <w:rPr>
            <w:rStyle w:val="Hyperlink"/>
          </w:rPr>
          <w:t>7</w:t>
        </w:r>
      </w:hyperlink>
      <w:r>
        <w:rPr/>
        <w:t xml:space="preserve">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O Gráfico </w:t>
      </w:r>
      <w:hyperlink w:anchor="fig%3Afontes372">
        <w:r>
          <w:rPr>
            <w:rStyle w:val="Hyperlink"/>
          </w:rPr>
          <w:t>3</w:t>
        </w:r>
      </w:hyperlink>
      <w:r>
        <w:rPr/>
        <w:t xml:space="preserve">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 energia e vida útil em 44 cada, com os demais critérios técnicos, sociais e ambientais listados na Tabela </w:t>
      </w:r>
      <w:hyperlink w:anchor="tab%3Acriteriospriorizacao">
        <w:r>
          <w:rPr>
            <w:rStyle w:val="Hyperlink"/>
          </w:rPr>
          <w:t>8</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(Othman and Kamal 2023; Chew and Conejos 2016; Conejos, Chew, and Azril 2019).</w:t>
      </w:r>
      <w:bookmarkEnd w:id="21"/>
    </w:p>
    <w:p>
      <w:pPr>
        <w:pStyle w:val="Heading2"/>
        <w:rPr/>
      </w:pPr>
      <w:bookmarkStart w:id="22" w:name="sec%3Ametodos"/>
      <w:r>
        <w:rPr/>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consumo de eletricidade, gás e água com conjuntos separados de treinamento, validação e teste (Suh and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e outros trabalhos desenvolveram ontologia de ativos, BIM 7D e comparação de estratégias por simulação (Espinosa Gispert et al. 2025; Goretti and Kaming 2023; Ferreira et al. 2020). No plano decisório, aparecem Lean Six Sigma, avaliação sintética fuzzy e raciocínio baseado em casos com Fuzzy-AHP (Aldairi, Khan, and Munive-Hernandez 2017; Yoon and Cha 2018; Park, Kwon, and Ahn 2019),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(Deng, Menassa, and Kamat 2021; Das 2025). Estruturas conceituais, indicadores, normalização, ponderação, agregação, sensibilidade e validação ocupam etapas distintas, e a transferência das aplicações de ANP, Delphi, AHP e TOPSIS à gestão universitária depende do contexto e dos dados locais. Nessa leitura,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and Espejo 2024; Morais, Paula, and Reis 2023).</w:t>
      </w:r>
      <w:bookmarkEnd w:id="22"/>
    </w:p>
    <w:p>
      <w:pPr>
        <w:pStyle w:val="Heading2"/>
        <w:rPr/>
      </w:pPr>
      <w:bookmarkStart w:id="23" w:name="sec%3Aaplicabilidade"/>
      <w:r>
        <w:rPr/>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w:t>
      </w:r>
      <w:hyperlink w:anchor="tab%3Acontexto">
        <w:r>
          <w:rPr>
            <w:rStyle w:val="Hyperlink"/>
          </w:rPr>
          <w:t>9</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e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e previsão orçamentária apoiada em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 Nesse cenário orçamentário, a ausência de critérios documentados tende a penalizar as intervenções preventivas, que carecem da urgência visível dos reparos corretivos.</w:t>
      </w:r>
    </w:p>
    <w:p>
      <w:pPr>
        <w:pStyle w:val="BodyText"/>
        <w:rPr/>
      </w:pPr>
      <w:r>
        <w:rPr/>
        <w:t>Contextos africanos acrescentam resiliência, governança, usuários e continuidade acadêmica à condição física (Awuzie and Isa 2017; Ndukuba 2025), hipóteses de transferência para validação brasileira. Em texto completo, um instrumento estrangeiro exigiu adaptação para aplicação em hospital público (Talib, Rajagopalan, and Yang 2013), e outros três projetos identificaram perdas de informação entre construção e operação, recorrendo ao BIM, à entrega suave (</w:t>
      </w:r>
      <w:r>
        <w:rPr>
          <w:i/>
          <w:iCs/>
        </w:rPr>
        <w:t>Soft Landings</w:t>
      </w:r>
      <w:r>
        <w:rPr/>
        <w:t>) e à comunicação (Tan, Zaman, and Sutrisna 2018). Essas evidências sustentam governança da informação e validação contextual da especificação proposta a seguir.</w:t>
      </w:r>
      <w:bookmarkEnd w:id="23"/>
    </w:p>
    <w:p>
      <w:pPr>
        <w:pStyle w:val="Heading2"/>
        <w:rPr/>
      </w:pPr>
      <w:bookmarkStart w:id="24" w:name="sec%3Amatriz"/>
      <w:r>
        <w:rPr/>
        <w:t>Da evidência à especificação operacional</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w:t>
      </w:r>
      <w:hyperlink w:anchor="tab%3Aprotocolooperacional">
        <w:r>
          <w:rPr>
            <w:rStyle w:val="Hyperlink"/>
          </w:rPr>
          <w:t>10</w:t>
        </w:r>
      </w:hyperlink>
      <w:r>
        <w:rPr/>
        <w:t xml:space="preserve"> liga critérios candidatos às evidências da revisão, e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 cadeia entre evidência científica, dimensão, critério, indicador observável, parametrização multicritério futura, veto não compensatório e decisão pública rastreável.</w:t>
      </w:r>
      <w:bookmarkEnd w:id="25"/>
      <w:bookmarkEnd w:id="26"/>
    </w:p>
    <w:p>
      <w:pPr>
        <w:pStyle w:val="Heading1"/>
        <w:rPr/>
      </w:pPr>
      <w:bookmarkStart w:id="27"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científica, dimensão, critério, indicador observável, parametrização multicritério futura, veto não compensatório e decisão pública rastreável.</w:t>
      </w:r>
    </w:p>
    <w:p>
      <w:pPr>
        <w:pStyle w:val="BodyText"/>
        <w:rPr/>
      </w:pPr>
      <w:r>
        <w:rPr/>
        <w:t xml:space="preserve">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qualidade dos dados, normalização, ponderação, agregação, vetos candidatos e sensibilidade. A revisão sustenta os critérios; os indicadores e suas parametrizações permanecem proposições autorais para validação, e a definição de normalização, pesos, agregação e limiares dos vetos candidatos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28" w:name="refs"/>
      <w:bookmarkStart w:id="29"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29"/>
    </w:p>
    <w:p>
      <w:pPr>
        <w:pStyle w:val="Bibliography"/>
        <w:rPr/>
      </w:pPr>
      <w:bookmarkStart w:id="30"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0"/>
    </w:p>
    <w:p>
      <w:pPr>
        <w:pStyle w:val="Bibliography"/>
        <w:rPr/>
      </w:pPr>
      <w:bookmarkStart w:id="31"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1"/>
    </w:p>
    <w:p>
      <w:pPr>
        <w:pStyle w:val="Bibliography"/>
        <w:rPr/>
      </w:pPr>
      <w:bookmarkStart w:id="32"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2"/>
    </w:p>
    <w:p>
      <w:pPr>
        <w:pStyle w:val="Bibliography"/>
        <w:rPr/>
      </w:pPr>
      <w:bookmarkStart w:id="33"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3"/>
    </w:p>
    <w:p>
      <w:pPr>
        <w:pStyle w:val="Bibliography"/>
        <w:rPr/>
      </w:pPr>
      <w:bookmarkStart w:id="34" w:name="ref-abnt_nbr5674_2012"/>
      <w:r>
        <w:rPr/>
        <w:t>Associação Brasileira de Normas Técnicas. 2012. “NBR 5674: Manutenção de Edificações, Requisitos Para o Sistema de Gestão de Manutenção.” Rio de Janeiro: ABNT.</w:t>
      </w:r>
      <w:bookmarkEnd w:id="34"/>
    </w:p>
    <w:p>
      <w:pPr>
        <w:pStyle w:val="Bibliography"/>
        <w:rPr/>
      </w:pPr>
      <w:bookmarkStart w:id="35"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35"/>
    </w:p>
    <w:p>
      <w:pPr>
        <w:pStyle w:val="Bibliography"/>
        <w:rPr/>
      </w:pPr>
      <w:bookmarkStart w:id="36"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36"/>
    </w:p>
    <w:p>
      <w:pPr>
        <w:pStyle w:val="Bibliography"/>
        <w:rPr/>
      </w:pPr>
      <w:bookmarkStart w:id="37"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37"/>
    </w:p>
    <w:p>
      <w:pPr>
        <w:pStyle w:val="Bibliography"/>
        <w:rPr/>
      </w:pPr>
      <w:bookmarkStart w:id="38"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38"/>
    </w:p>
    <w:p>
      <w:pPr>
        <w:pStyle w:val="Bibliography"/>
        <w:rPr/>
      </w:pPr>
      <w:bookmarkStart w:id="39" w:name="ref-crossref_restapi_2026"/>
      <w:r>
        <w:rPr/>
        <w:t xml:space="preserve">Crossref. 2026. “REST API: Metadata Retrieval.” 2026. </w:t>
      </w:r>
      <w:hyperlink r:id="rId22">
        <w:r>
          <w:rPr>
            <w:rStyle w:val="Hyperlink"/>
          </w:rPr>
          <w:t>https://www.crossref.org/documentation/retrieve-metadata/rest-api/</w:t>
        </w:r>
      </w:hyperlink>
      <w:r>
        <w:rPr/>
        <w:t>.</w:t>
      </w:r>
      <w:bookmarkEnd w:id="39"/>
    </w:p>
    <w:p>
      <w:pPr>
        <w:pStyle w:val="Bibliography"/>
        <w:rPr/>
      </w:pPr>
      <w:bookmarkStart w:id="40"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0"/>
    </w:p>
    <w:p>
      <w:pPr>
        <w:pStyle w:val="Bibliography"/>
        <w:rPr/>
      </w:pPr>
      <w:bookmarkStart w:id="41"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1"/>
    </w:p>
    <w:p>
      <w:pPr>
        <w:pStyle w:val="Bibliography"/>
        <w:rPr/>
      </w:pPr>
      <w:bookmarkStart w:id="42"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2"/>
    </w:p>
    <w:p>
      <w:pPr>
        <w:pStyle w:val="Bibliography"/>
        <w:rPr/>
      </w:pPr>
      <w:bookmarkStart w:id="43"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3"/>
    </w:p>
    <w:p>
      <w:pPr>
        <w:pStyle w:val="Bibliography"/>
        <w:rPr/>
      </w:pPr>
      <w:bookmarkStart w:id="44"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4"/>
    </w:p>
    <w:p>
      <w:pPr>
        <w:pStyle w:val="Bibliography"/>
        <w:rPr/>
      </w:pPr>
      <w:bookmarkStart w:id="45"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45"/>
    </w:p>
    <w:p>
      <w:pPr>
        <w:pStyle w:val="Bibliography"/>
        <w:rPr/>
      </w:pPr>
      <w:bookmarkStart w:id="46"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46"/>
    </w:p>
    <w:p>
      <w:pPr>
        <w:pStyle w:val="Bibliography"/>
        <w:rPr/>
      </w:pPr>
      <w:bookmarkStart w:id="47"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47"/>
    </w:p>
    <w:p>
      <w:pPr>
        <w:pStyle w:val="Bibliography"/>
        <w:rPr/>
      </w:pPr>
      <w:bookmarkStart w:id="48"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48"/>
    </w:p>
    <w:p>
      <w:pPr>
        <w:pStyle w:val="Bibliography"/>
        <w:rPr/>
      </w:pPr>
      <w:bookmarkStart w:id="49"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49"/>
    </w:p>
    <w:p>
      <w:pPr>
        <w:pStyle w:val="Bibliography"/>
        <w:rPr/>
      </w:pPr>
      <w:bookmarkStart w:id="50"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0"/>
    </w:p>
    <w:p>
      <w:pPr>
        <w:pStyle w:val="Bibliography"/>
        <w:rPr/>
      </w:pPr>
      <w:bookmarkStart w:id="51"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1"/>
    </w:p>
    <w:p>
      <w:pPr>
        <w:pStyle w:val="Bibliography"/>
        <w:rPr/>
      </w:pPr>
      <w:bookmarkStart w:id="52"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2"/>
    </w:p>
    <w:p>
      <w:pPr>
        <w:pStyle w:val="Bibliography"/>
        <w:rPr/>
      </w:pPr>
      <w:bookmarkStart w:id="53"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3"/>
    </w:p>
    <w:p>
      <w:pPr>
        <w:pStyle w:val="Bibliography"/>
        <w:rPr/>
      </w:pPr>
      <w:bookmarkStart w:id="54"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4"/>
    </w:p>
    <w:p>
      <w:pPr>
        <w:pStyle w:val="Bibliography"/>
        <w:rPr/>
      </w:pPr>
      <w:bookmarkStart w:id="55"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55"/>
    </w:p>
    <w:p>
      <w:pPr>
        <w:pStyle w:val="Bibliography"/>
        <w:rPr/>
      </w:pPr>
      <w:bookmarkStart w:id="56"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56"/>
    </w:p>
    <w:p>
      <w:pPr>
        <w:pStyle w:val="Bibliography"/>
        <w:rPr/>
      </w:pPr>
      <w:bookmarkStart w:id="57"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57"/>
    </w:p>
    <w:p>
      <w:pPr>
        <w:pStyle w:val="Bibliography"/>
        <w:rPr/>
      </w:pPr>
      <w:bookmarkStart w:id="58"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58"/>
    </w:p>
    <w:p>
      <w:pPr>
        <w:pStyle w:val="Bibliography"/>
        <w:rPr/>
      </w:pPr>
      <w:bookmarkStart w:id="59"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59"/>
    </w:p>
    <w:p>
      <w:pPr>
        <w:pStyle w:val="Bibliography"/>
        <w:rPr/>
      </w:pPr>
      <w:bookmarkStart w:id="60"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0"/>
    </w:p>
    <w:p>
      <w:pPr>
        <w:pStyle w:val="Bibliography"/>
        <w:rPr/>
      </w:pPr>
      <w:bookmarkStart w:id="61"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1"/>
    </w:p>
    <w:p>
      <w:pPr>
        <w:pStyle w:val="Bibliography"/>
        <w:rPr/>
      </w:pPr>
      <w:bookmarkStart w:id="62"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2"/>
    </w:p>
    <w:p>
      <w:pPr>
        <w:pStyle w:val="Bibliography"/>
        <w:rPr/>
      </w:pPr>
      <w:bookmarkStart w:id="63"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3"/>
    </w:p>
    <w:p>
      <w:pPr>
        <w:pStyle w:val="Bibliography"/>
        <w:rPr/>
      </w:pPr>
      <w:bookmarkStart w:id="64"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4"/>
    </w:p>
    <w:p>
      <w:pPr>
        <w:pStyle w:val="Bibliography"/>
        <w:rPr/>
      </w:pPr>
      <w:bookmarkStart w:id="65"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65"/>
    </w:p>
    <w:p>
      <w:pPr>
        <w:pStyle w:val="Bibliography"/>
        <w:rPr/>
      </w:pPr>
      <w:bookmarkStart w:id="66"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66"/>
    </w:p>
    <w:p>
      <w:pPr>
        <w:pStyle w:val="Bibliography"/>
        <w:rPr/>
      </w:pPr>
      <w:bookmarkStart w:id="67"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67"/>
    </w:p>
    <w:p>
      <w:pPr>
        <w:pStyle w:val="Bibliography"/>
        <w:rPr/>
      </w:pPr>
      <w:bookmarkStart w:id="68"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68"/>
    </w:p>
    <w:p>
      <w:pPr>
        <w:pStyle w:val="Bibliography"/>
        <w:rPr/>
      </w:pPr>
      <w:bookmarkStart w:id="69"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69"/>
    </w:p>
    <w:p>
      <w:pPr>
        <w:pStyle w:val="Bibliography"/>
        <w:rPr/>
      </w:pPr>
      <w:bookmarkStart w:id="70"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0"/>
    </w:p>
    <w:p>
      <w:pPr>
        <w:pStyle w:val="Bibliography"/>
        <w:spacing w:before="0" w:after="200"/>
        <w:rPr/>
      </w:pPr>
      <w:bookmarkStart w:id="71"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27"/>
      <w:bookmarkEnd w:id="28"/>
      <w:bookmarkEnd w:id="71"/>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2026-08-28T01:04:49Z</dcterms:created>
  <dc:creator>Adinailson Guimarães de Oliveira Programa de Pós-Graduação em Biossistemas Universidade Federal do Sul da Bahia (UFSB)</dc:creator>
  <dc:description/>
  <dc:language>en-US</dc:language>
  <cp:lastModifiedBy/>
  <dcterms:modified xsi:type="dcterms:W3CDTF">2026-08-28T01:04:49Z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