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Priorização multicritério da manutenção sustentável em edificações públicas universitárias</w:t>
        <w:br/>
        <w:t>Multi-criteria prioritization of sustainable maintenance in public university buildings</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rStyle w:val="SectionNumber"/>
        </w:rPr>
        <w:t>1</w:t>
      </w:r>
      <w:r>
        <w:rPr/>
        <w:tab/>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(Barbosa et al., 2020; Lateef; Khamidi; Idrus, 2010). Nas universidades federais brasileiras, estudos registram fragmentação de cadastros, demanda acumulada, restrições orçamentárias e necessidade de integrar custos, ordens de serviço e condição dos ativos (Barbosa et al., 2020; Martins; Espejo, 2024; Morais; Paula; Reis, 2023). A manutenção condiciona desempenho, segurança, durabilidade e continuidade dos serviços, em consonância com os requisitos de planejamento, controle e avaliação da NBR 5674 e com as responsabilidades administrativas do gestor público (Araújo Neto, 2015; Associação Brasileira de Normas Técnicas, 2012). Para orientar prioridades, porém, essas entradas precisam ser articuladas a condição física, risco, energia, impacto ambiental, experiência dos usuários, conformidade e capacidade institucional (Alfalah et al., 2022; Maia; Scheer; Freitas, 2016; Nägeli et al., 2019).</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Galamba, 2016; Okoro, 2023; Opoku; Lee, 2022).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Masmoudi et al., 2026; Naji; Gunduz; Maki, 2023).</w:t>
      </w:r>
    </w:p>
    <w:p>
      <w:pPr>
        <w:pStyle w:val="BodyText"/>
        <w:rPr/>
      </w:pPr>
      <w:r>
        <w:rPr/>
        <w:t xml:space="preserve">A literatura sustenta cinco correntes complementares que orientam a conversão dessa evidência em especificação operacional, com núcleo analítico, contribuição e lacuna de integração sintetizados na Tabela 1 (Alfalah et al., 2022; Deng; Menassa; Kamat, 2021; Masmoudi et al., 2026; Nägeli et al., 2019; Nielsen; Sarasoja; Galamba, 2016). A corrente técnica-operacional deriva de ciclo de vida e confiabilidade do ativo (Chew; Conejos, 2016; Conejos; Chew; Azril, 2019; Nägeli et al., 2019; Othman; Kamal, 2023); a ambiental integra energia, emissões e efeitos intertemporais à gestão de facilidades (Nielsen; Sarasoja; Galamba, 2016; Okoro, 2023; Opoku; Lee, 2022);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(Das, 2025; Deng; Menassa; Kamat, 2021; Espinosa Gispert et al., 2025; Goretti; Kaming, 2023; Motuzienė et al., 2025; Wu; Mundt-Petersen, 2025); e a de integração multicritério estrutura conflitos entre objetivos por AHP, TOPSIS, ANP, Delphi e lógica </w:t>
      </w:r>
      <w:r>
        <w:rPr>
          <w:i/>
          <w:iCs/>
        </w:rPr>
        <w:t>fuzzy</w:t>
      </w:r>
      <w:r>
        <w:rPr/>
        <w:t xml:space="preserve"> (Alfalah et al., 2022; Masmoudi et al., 2026; Naji; Gunduz; Maki, 2023).</w:t>
      </w:r>
    </w:p>
    <w:p>
      <w:pPr>
        <w:pStyle w:val="TableCaption"/>
        <w:keepNext w:val="true"/>
        <w:rPr/>
      </w:pPr>
      <w:r>
        <w:rPr/>
        <w:t>Tabela 1. Correntes teóricas que fundamentam a especificação proposta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i/>
          <w:sz w:val="18"/>
        </w:rPr>
        <w:t>Fonte: elaborado pelo autor.</w:t>
      </w:r>
    </w:p>
    <w:p>
      <w:pPr>
        <w:pStyle w:val="BodyText"/>
        <w:rPr/>
      </w:pPr>
      <w:r>
        <w:rPr/>
        <w:t>A literatura sobre digitalização e decisão ainda distribui integração de dados, previsão operacional, critérios de sustentabilidade e escolha multicritério em cadeias parciais (Alfalah et al., 2022; Das, 2025; Deng; Menassa; Kamat, 2021; Masmoudi et al., 2026). Ferramentas informacionais e preditivas produzem dados, diagnósticos e estimativas, mas a conexão entre essa produção e uma decisão administrativa validada permanece fragmentada. Este artigo estabelece uma conexão rastreável entre a evidência científica e a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1"/>
    </w:p>
    <w:p>
      <w:pPr>
        <w:pStyle w:val="Heading1"/>
        <w:rPr/>
      </w:pPr>
      <w:bookmarkStart w:id="2" w:name="sec%3Ametodo"/>
      <w:r>
        <w:rPr>
          <w:rStyle w:val="SectionNumber"/>
        </w:rPr>
        <w:t>2</w:t>
      </w:r>
      <w:r>
        <w:rPr/>
        <w:tab/>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(Snyder, 2019; Whittemore; Knafl, 2005).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3" w:name="conjuntos-analíticos"/>
      <w:r>
        <w:rPr>
          <w:rStyle w:val="SectionNumber"/>
        </w:rPr>
        <w:t>2.1</w:t>
      </w:r>
      <w:r>
        <w:rPr/>
        <w:tab/>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3.1).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2 padroniza os rótulos usados no artigo e evita que diferentes etapas sejam tratadas como um único conjunto.</w:t>
      </w:r>
    </w:p>
    <w:p>
      <w:pPr>
        <w:pStyle w:val="TableCaption"/>
        <w:keepNext w:val="true"/>
        <w:rPr/>
      </w:pPr>
      <w:r>
        <w:rPr/>
        <w:t>Tabela 2. Glossário dos conjuntos analíticos da revisão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i/>
          <w:sz w:val="18"/>
        </w:rPr>
        <w:t>Fonte: elaborado pelo autor.</w:t>
      </w:r>
    </w:p>
    <w:p>
      <w:pPr>
        <w:pStyle w:val="BodyText"/>
        <w:rPr/>
      </w:pPr>
      <w:r>
        <w:rPr/>
        <w:t>A Tabela 3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p>
      <w:pPr>
        <w:pStyle w:val="TableCaption"/>
        <w:keepNext w:val="true"/>
        <w:rPr/>
      </w:pPr>
      <w:r>
        <w:rPr/>
        <w:t>Tabela 3. Matriz de alinhamento entre perguntas, seleção, extração e resultados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6.</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7.</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p>
    <w:p>
      <w:pPr>
        <w:pStyle w:val="BodyText"/>
        <w:rPr/>
      </w:pPr>
      <w:bookmarkStart w:id="4" w:name="conjuntos-analíticos"/>
      <w:r>
        <w:rPr>
          <w:i/>
          <w:sz w:val="18"/>
        </w:rPr>
        <w:t>Fonte: elaborado pelo autor.</w:t>
      </w:r>
      <w:bookmarkEnd w:id="4"/>
    </w:p>
    <w:p>
      <w:pPr>
        <w:pStyle w:val="Heading2"/>
        <w:rPr/>
      </w:pPr>
      <w:bookmarkStart w:id="5" w:name="estratégia-de-busca"/>
      <w:r>
        <w:rPr>
          <w:rStyle w:val="SectionNumber"/>
        </w:rPr>
        <w:t>2.2</w:t>
      </w:r>
      <w:r>
        <w:rPr/>
        <w:tab/>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4). A soma de 18.846 ocorrências entre as duas rodadas corresponde apenas ao volume operacional antes da deduplicação e não constitui corpus homogêneo, porque a busca de sensibilidade foi deliberadamente enriquecida para IA e aprendizado de máquina.</w:t>
      </w:r>
    </w:p>
    <w:p>
      <w:pPr>
        <w:pStyle w:val="TableCaption"/>
        <w:keepNext w:val="true"/>
        <w:rPr/>
      </w:pPr>
      <w:r>
        <w:rPr/>
        <w:t>Tabela 4. Estratégia de busca consolidada por rodada e base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blHeader w:val="true"/>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de sensibilidade</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r>
    </w:tbl>
    <w:p>
      <w:pPr>
        <w:pStyle w:val="Normal"/>
        <w:rPr/>
      </w:pPr>
      <w:r>
        <w:rPr/>
      </w:r>
    </w:p>
    <w:p>
      <w:pPr>
        <w:pStyle w:val="BodyText"/>
        <w:rPr/>
      </w:pPr>
      <w:r>
        <w:rPr>
          <w:i/>
          <w:sz w:val="18"/>
        </w:rPr>
        <w:t>Nota: a soma operacional das rodadas é 18.846 ocorrências, mas não representa um único corpus bruto. Fonte: elaborado pelo autor a partir dos logs e arquivos exportados.</w:t>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5).</w:t>
      </w:r>
    </w:p>
    <w:p>
      <w:pPr>
        <w:pStyle w:val="TableCaption"/>
        <w:keepNext w:val="true"/>
        <w:rPr/>
      </w:pPr>
      <w:r>
        <w:rPr/>
        <w:t>Tabela 5. Critérios de seleção e caracterização do corpus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p>
    <w:p>
      <w:pPr>
        <w:pStyle w:val="BodyText"/>
        <w:rPr/>
      </w:pPr>
      <w:bookmarkStart w:id="6" w:name="estratégia-de-busca"/>
      <w:r>
        <w:rPr>
          <w:i/>
          <w:sz w:val="18"/>
        </w:rPr>
        <w:t>Fonte: elaborado pelo autor.</w:t>
      </w:r>
      <w:bookmarkEnd w:id="6"/>
    </w:p>
    <w:p>
      <w:pPr>
        <w:pStyle w:val="Heading2"/>
        <w:rPr/>
      </w:pPr>
      <w:bookmarkStart w:id="7" w:name="X961280b3a45a67e41e71da47b94b36fd32344d7"/>
      <w:r>
        <w:rPr>
          <w:rStyle w:val="SectionNumber"/>
        </w:rPr>
        <w:t>2.3</w:t>
      </w:r>
      <w:r>
        <w:rPr/>
        <w:tab/>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e consultas de origem, mantendo o resumo mais longo disponível.</w:t>
      </w:r>
    </w:p>
    <w:p>
      <w:pPr>
        <w:pStyle w:val="BodyText"/>
        <w:rPr/>
      </w:pPr>
      <w:bookmarkStart w:id="8" w:name="X961280b3a45a67e41e71da47b94b36fd32344d7"/>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8"/>
    </w:p>
    <w:p>
      <w:pPr>
        <w:pStyle w:val="Heading2"/>
        <w:rPr/>
      </w:pPr>
      <w:bookmarkStart w:id="9" w:name="triagem-e-auditoria"/>
      <w:r>
        <w:rPr>
          <w:rStyle w:val="SectionNumber"/>
        </w:rPr>
        <w:t>2.4</w:t>
      </w:r>
      <w:r>
        <w:rPr/>
        <w:tab/>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6 preserva a rastreabilidade da busca principal até o núcleo original de 104 registros, e a Figura 1 integra esse percurso à busca de sensibilidade, explicitando a convergência no núcleo temático vigente de 121 registros.</w:t>
      </w:r>
    </w:p>
    <w:p>
      <w:pPr>
        <w:pStyle w:val="TableCaption"/>
        <w:keepNext w:val="true"/>
        <w:rPr/>
      </w:pPr>
      <w:r>
        <w:rPr/>
        <w:t>Tabela 6. Rastreabilidade do funil de seleção da busca principal</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blHeader w:val="true"/>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BodyText"/>
        <w:rPr/>
      </w:pPr>
      <w:r>
        <w:rPr>
          <w:i/>
          <w:sz w:val="18"/>
        </w:rPr>
        <w:t>Fonte: elaborado pelo autor.</w:t>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bookmarkStart w:id="10" w:name="triagem-e-auditoria"/>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10"/>
    </w:p>
    <w:p>
      <w:pPr>
        <w:pStyle w:val="Heading2"/>
        <w:rPr/>
      </w:pPr>
      <w:bookmarkStart w:id="11" w:name="sec%3Abuscaia"/>
      <w:r>
        <w:rPr>
          <w:rStyle w:val="SectionNumber"/>
        </w:rPr>
        <w:t>2.5</w:t>
      </w:r>
      <w:r>
        <w:rPr/>
        <w:tab/>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4).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(Das, 2025; Deng; Menassa; Kamat, 2021). Os 4.889 registros foram classificados, sem amostragem, em seis classes de evidência, com nível de confiança rebaixado por definição para registros sem resumo, concentrados no Crossref.</w:t>
      </w:r>
    </w:p>
    <w:p>
      <w:pPr>
        <w:pStyle w:val="BodyText"/>
        <w:rPr/>
      </w:pPr>
      <w:bookmarkStart w:id="12" w:name="sec%3Abuscaia"/>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12"/>
    </w:p>
    <w:p>
      <w:pPr>
        <w:pStyle w:val="Heading2"/>
        <w:rPr/>
      </w:pPr>
      <w:bookmarkStart w:id="13" w:name="reprodutibilidade-e-limites-da-automação"/>
      <w:r>
        <w:rPr>
          <w:rStyle w:val="SectionNumber"/>
        </w:rPr>
        <w:t>2.6</w:t>
      </w:r>
      <w:r>
        <w:rPr/>
        <w:tab/>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bookmarkStart w:id="14" w:name="sec%3Ametodo"/>
      <w:bookmarkStart w:id="15" w:name="reprodutibilidade-e-limites-da-automação"/>
      <w:r>
        <w:rPr/>
        <w:t>Na preparação deste manuscrito para submissão, utilizou-se a ferramenta Claude (Claude Code, Anthropic, modelo Claude Sonnet 5) para reestruturação editorial, condensação textual, revisão linguística e adequação formal às normas editoriais do periódico; todas as alterações científicas e editoriais propostas foram revisadas e aprovadas pelo autor. A ferramenta não foi utilizada na concepção da pesquisa, na coleta de dados, na definição do corpus, na codificação, no cálculo dos resultados ou na criação de evidências.</w:t>
      </w:r>
      <w:bookmarkEnd w:id="14"/>
      <w:bookmarkEnd w:id="15"/>
    </w:p>
    <w:p>
      <w:pPr>
        <w:pStyle w:val="Heading1"/>
        <w:rPr/>
      </w:pPr>
      <w:bookmarkStart w:id="16" w:name="sec%3Aresultados"/>
      <w:r>
        <w:rPr>
          <w:rStyle w:val="SectionNumber"/>
        </w:rPr>
        <w:t>3</w:t>
      </w:r>
      <w:r>
        <w:rPr/>
        <w:tab/>
        <w:t>Resultados e discussão</w:t>
      </w:r>
    </w:p>
    <w:p>
      <w:pPr>
        <w:pStyle w:val="Heading2"/>
        <w:rPr/>
      </w:pPr>
      <w:bookmarkStart w:id="17" w:name="sec%3Apanorama"/>
      <w:r>
        <w:rPr>
          <w:rStyle w:val="SectionNumber"/>
        </w:rPr>
        <w:t>3.1</w:t>
      </w:r>
      <w:r>
        <w:rPr/>
        <w:tab/>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2.5). Entre 2019 e 2026 concentram-se 101 registros (83,5%), com máximo de 29 estudos em 2025 (Gráfico 1). A deduplicação preservou a proveniência múltipla. Sessenta e sete registros vieram apenas da Scopus, 41 da Scopus e da Web of Science, sete apenas da Web of Science, três das três bases, dois da Scopus e do Crossref e um apenas do Crossref (Tabela 7). A baixa disponibilidade de resumos no Crossref reduziu sua contribuição à triagem.</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1. Distribuição temporal do núcleo temático vigente</w:t>
      </w:r>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7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p>
      <w:pPr>
        <w:pStyle w:val="TableCaption"/>
        <w:keepNext w:val="true"/>
        <w:rPr/>
      </w:pPr>
      <w:r>
        <w:rPr/>
        <w:t>Tabela 7. Distribuição do núcleo temático vigente por base de origem e tipo documental</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 Registros do núcleo com origem na base, respostas múltiplas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 Tipo documental harmonizado, categorias exclusivas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r>
        <w:rPr>
          <w:i/>
          <w:sz w:val="18"/>
        </w:rPr>
        <w:t>Fonte: elaborado pelo autor.</w:t>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 xml:space="preserve">O Gráfico 2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2. Fontes mais frequentes no corpus bibliométrico ampliado</w:t>
      </w:r>
    </w:p>
    <w:p>
      <w:pPr>
        <w:pStyle w:val="BodyText"/>
        <w:rPr/>
      </w:pPr>
      <w:r>
        <w:rPr/>
        <w:t xml:space="preserve">O mapa temático (Gráfico 3)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3. Mapa temático por centralidade e densidade das palavras-chave</w:t>
      </w:r>
    </w:p>
    <w:p>
      <w:pPr>
        <w:pStyle w:val="BodyText"/>
        <w:rPr/>
      </w:pPr>
      <w:r>
        <w:rPr/>
        <w:t xml:space="preserve">A rede normalizada (Gráfico 4)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4. Rede normalizada de coocorrência de palavras-chave</w:t>
      </w:r>
    </w:p>
    <w:p>
      <w:pPr>
        <w:pStyle w:val="BodyText"/>
        <w:rPr/>
      </w:pPr>
      <w:r>
        <w:rPr/>
        <w:t xml:space="preserve">A comparação temporal (Gráfico 5)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5.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7"/>
    </w:p>
    <w:p>
      <w:pPr>
        <w:pStyle w:val="Heading2"/>
        <w:rPr/>
      </w:pPr>
      <w:bookmarkStart w:id="18" w:name="sec%3Acriterios"/>
      <w:r>
        <w:rPr>
          <w:rStyle w:val="SectionNumber"/>
        </w:rPr>
        <w:t>3.2</w:t>
      </w:r>
      <w:r>
        <w:rPr/>
        <w:tab/>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6.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Ao todo, foram identificados 15 critérios de priorização, distribuídos de forma heterogênea entre as seis dimensões. Quanto à frequência, desempenho operacional apareceu em 99 registros, informação e dados em 82, custo em 63 e energia e vida útil em 44 cada, com os demais critérios técnicos, sociais e ambientais listados na Tabela 8.</w:t>
      </w:r>
    </w:p>
    <w:p>
      <w:pPr>
        <w:pStyle w:val="TableCaption"/>
        <w:keepNext w:val="true"/>
        <w:rPr/>
      </w:pPr>
      <w:r>
        <w:rPr/>
        <w:t>Tabela 8. Critérios de priorização identificados no núcleo temático vigente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i/>
          <w:sz w:val="18"/>
        </w:rPr>
        <w:t>Fonte: elaborado pelo autor.</w:t>
      </w:r>
    </w:p>
    <w:p>
      <w:pPr>
        <w:pStyle w:val="BodyText"/>
        <w:rPr/>
      </w:pPr>
      <w:bookmarkStart w:id="19" w:name="sec%3Acriterios"/>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(Chew; Conejos, 2016; Conejos; Chew; Azril, 2019; Othman; Kamal, 2023).</w:t>
      </w:r>
      <w:bookmarkEnd w:id="19"/>
    </w:p>
    <w:p>
      <w:pPr>
        <w:pStyle w:val="Heading2"/>
        <w:rPr/>
      </w:pPr>
      <w:bookmarkStart w:id="20" w:name="sec%3Ametodos"/>
      <w:r>
        <w:rPr>
          <w:rStyle w:val="SectionNumber"/>
        </w:rPr>
        <w:t>3.3</w:t>
      </w:r>
      <w:r>
        <w:rPr/>
        <w:tab/>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7. Abordagens e métodos de apoio à decisão identificados no núcleo temático vigente</w:t>
      </w:r>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Mundt-Petersen, 2025), e consumo de eletricidade, gás e água com conjuntos separados de treinamento, validação e teste (Suh;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Kamat, 2021), e outros trabalhos desenvolveram ontologia de ativos, BIM 7D e comparação de estratégias por simulação (Espinosa Gispert et al., 2025; Ferreira et al., 2020; Goretti; Kaming, 2023). No plano decisório, aparecem Lean Six Sigma, avaliação sintética fuzzy e raciocínio baseado em casos com Fuzzy-AHP (Aldairi; Khan; Munive-Hernandez, 2017; Park; Kwon; Ahn, 2019; Yoon; Cha, 2018),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(Das, 2025; Deng; Menassa; Kamat, 2021). Estruturas conceituais, indicadores, normalização, ponderação, agregação, sensibilidade e validação ocupam etapas distintas, e a transferência das aplicações de ANP, Delphi, AHP e TOPSIS à gestão universitária depende do contexto e dos dados locais. Essa leitura sugere que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Espejo, 2024; Morais; Paula; Reis, 2023).</w:t>
      </w:r>
      <w:bookmarkEnd w:id="20"/>
    </w:p>
    <w:p>
      <w:pPr>
        <w:pStyle w:val="Heading2"/>
        <w:rPr/>
      </w:pPr>
      <w:bookmarkStart w:id="21" w:name="sec%3Aaplicabilidade"/>
      <w:r>
        <w:rPr>
          <w:rStyle w:val="SectionNumber"/>
        </w:rPr>
        <w:t>3.4</w:t>
      </w:r>
      <w:r>
        <w:rPr/>
        <w:tab/>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9).</w:t>
      </w:r>
    </w:p>
    <w:p>
      <w:pPr>
        <w:pStyle w:val="TableCaption"/>
        <w:keepNext w:val="true"/>
        <w:rPr/>
      </w:pPr>
      <w:r>
        <w:rPr/>
        <w:t>Tabela 9. Contextos de edificação identificados no núcleo temático vigente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i/>
          <w:sz w:val="18"/>
        </w:rPr>
        <w:t>Fonte: elaborado pelo autor.</w:t>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(Barbosa et al., 2020; Lateef; Khamidi; Idrus, 2010), e outros trabalhos identificaram fatores críticos em universidades (Awuzie; Isa, 2017), critérios ambientais, econômicos e sociais em edifícios educacionais (Alfalah et al., 2022), indicadores operacionais de </w:t>
      </w:r>
      <w:r>
        <w:rPr>
          <w:i/>
          <w:iCs/>
        </w:rPr>
        <w:t>campus</w:t>
      </w:r>
      <w:r>
        <w:rPr/>
        <w:t xml:space="preserve"> (Naji; Gunduz; Maki, 2023) e previsão orçamentária apoiada em ordens de serviço (Martins; Espejo, 2024; Morais; Paula; Reis, 2023). No contexto das universidades federais brasileiras, esse conjunto reforça a prioridade de cadastros consistentes, regras de veto e histórico dos parâmetros para a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w:t>
      </w:r>
    </w:p>
    <w:p>
      <w:pPr>
        <w:pStyle w:val="BodyText"/>
        <w:rPr/>
      </w:pPr>
      <w:r>
        <w:rPr/>
        <w:t>Contextos africanos acrescentam resiliência, governança, usuários e continuidade acadêmica à condição física (Awuzie; Isa, 2017; Ndukuba, 2025), hipóteses de transferência para validação brasileira. Em texto completo, um instrumento estrangeiro exigiu adaptação para aplicação em hospital público (Talib; Rajagopalan; Yang, 2013), e outros três projetos identificaram perdas de informação entre construção e operação, recorrendo ao BIM, à entrega suave (</w:t>
      </w:r>
      <w:r>
        <w:rPr>
          <w:i/>
          <w:iCs/>
        </w:rPr>
        <w:t>Soft Landings</w:t>
      </w:r>
      <w:r>
        <w:rPr/>
        <w:t>) e à comunicação (Tan; Zaman; Sutrisna, 2018). Essas evidências sustentam governança da informação e validação contextual da especificação proposta a seguir.</w:t>
      </w:r>
      <w:bookmarkEnd w:id="21"/>
    </w:p>
    <w:p>
      <w:pPr>
        <w:pStyle w:val="Heading2"/>
        <w:rPr/>
      </w:pPr>
      <w:bookmarkStart w:id="22" w:name="sec%3Amatriz"/>
      <w:r>
        <w:rPr>
          <w:rStyle w:val="SectionNumber"/>
        </w:rPr>
        <w:t>3.5</w:t>
      </w:r>
      <w:r>
        <w:rPr/>
        <w:tab/>
        <w:t>Da evidência à especificação operacional</w:t>
      </w:r>
    </w:p>
    <w:p>
      <w:pPr>
        <w:pStyle w:val="FirstParagraph"/>
        <w:rPr/>
      </w:pPr>
      <w:r>
        <w:rPr/>
        <w:t xml:space="preserve">O Gráfico 8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8. Coocorrência entre critérios de priorização e instrumentos de apoio à decisão</w:t>
      </w:r>
    </w:p>
    <w:p>
      <w:pPr>
        <w:pStyle w:val="BodyText"/>
        <w:rPr/>
      </w:pPr>
      <w:r>
        <w:rPr/>
        <w:t xml:space="preserve">O Gráfico 9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9. Matriz de coocorrência entre dimensões de sustentabilidade e instrumentos de apoio à decisão</w:t>
      </w:r>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10 liga critérios candidatos às evidências da revisão, e a Tabela 11 apresenta, em plano separado, indicadores, fontes, periodicidades e direções propostos pelo autor para validação.</w:t>
      </w:r>
    </w:p>
    <w:p>
      <w:pPr>
        <w:pStyle w:val="TableCaption"/>
        <w:keepNext w:val="true"/>
        <w:rPr/>
      </w:pPr>
      <w:r>
        <w:rPr/>
        <w:t>Tabela 10. Rastreabilidade entre evidências e critérios candidatos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foram observadas por Tan; Zaman; Sutrisna (2018).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Kamal (2023).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Yang (2013) aponta a necessidade de adaptação contextual.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p>
      <w:pPr>
        <w:pStyle w:val="BodyText"/>
        <w:rPr/>
      </w:pPr>
      <w:r>
        <w:rPr>
          <w:i/>
          <w:sz w:val="18"/>
        </w:rPr>
        <w:t>Fonte: elaborado pelo autor.</w:t>
      </w:r>
    </w:p>
    <w:p>
      <w:pPr>
        <w:pStyle w:val="TableCaption"/>
        <w:keepNext w:val="true"/>
        <w:rPr/>
      </w:pPr>
      <w:r>
        <w:rPr/>
        <w:t>Tabela 11. Proposição autoral de especificação operacional dos indicadores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i/>
          <w:sz w:val="18"/>
        </w:rPr>
        <w:t>Nota: indicadores, unidades, fontes, periodicidades e direções são proposições do autor para validação institucional. A revisão sustenta os critérios e a necessidade de rastreabilidade. Maior ou menor indica a direção desejável do indicador.</w:t>
      </w:r>
    </w:p>
    <w:p>
      <w:pPr>
        <w:pStyle w:val="BodyText"/>
        <w:rPr/>
      </w:pPr>
      <w:r>
        <w:rPr/>
        <w:t>A Figura 2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(Araújo Neto, 2015; Associação Brasileira de Normas Técnicas, 2012); o ciclo de vida permanece transversal para evitar dupla contagem.</w:t>
      </w:r>
    </w:p>
    <w:p>
      <w:pPr>
        <w:pStyle w:val="BodyText"/>
        <w:rPr/>
      </w:pPr>
      <w:bookmarkStart w:id="23" w:name="sec%3Aresultados"/>
      <w:bookmarkStart w:id="24" w:name="sec%3Amatriz"/>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assim a cadeia entre a evidência da revisão e a decisão pública rastreável.</w:t>
      </w:r>
      <w:bookmarkEnd w:id="23"/>
      <w:bookmarkEnd w:id="24"/>
    </w:p>
    <w:p>
      <w:pPr>
        <w:pStyle w:val="Heading1"/>
        <w:rPr/>
      </w:pPr>
      <w:bookmarkStart w:id="25" w:name="sec%3Aconsideracoes"/>
      <w:r>
        <w:rPr>
          <w:rStyle w:val="SectionNumber"/>
        </w:rPr>
        <w:t>4</w:t>
      </w:r>
      <w:r>
        <w:rPr/>
        <w:tab/>
        <w:t>Considerações finais</w:t>
      </w:r>
    </w:p>
    <w:p>
      <w:pPr>
        <w:pStyle w:val="FirstParagraph"/>
        <w:rPr/>
      </w:pPr>
      <w:r>
        <w:rPr/>
        <w:t>A pergunta central foi respondida pela integração de duas camadas parcialmente sobrepostas. O mapeamento bibliométrico identificou evolução temática de eficiência e desempenho para tecnologias digitais,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critérios e decisão pública rastreável.</w:t>
      </w:r>
    </w:p>
    <w:p>
      <w:pPr>
        <w:pStyle w:val="BodyText"/>
        <w:rPr/>
      </w:pPr>
      <w:r>
        <w:rPr/>
        <w:t xml:space="preserve">Os resultados sugerem que 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normalização, ponderação, agregação e vetos candidatos. A revisão sustenta os critérios; os indicadores permanecem proposições autorais para validação, e a definição de pesos, agregação e limiares dos vetos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possível para justificar cada investimento por critérios documentados e auditáveis, contribuindo para deslocar a priorização da manutenção de uma resposta improvisada para uma prática mais próxima da governança e do valor público, uma vez validada institucionalmente.</w:t>
      </w:r>
    </w:p>
    <w:p>
      <w:pPr>
        <w:pStyle w:val="Normal"/>
        <w:rPr/>
      </w:pPr>
      <w:bookmarkStart w:id="26" w:name="refs"/>
      <w:bookmarkStart w:id="27" w:name="ref-aldairi_lean6sbm_2017"/>
      <w:r>
        <w:rPr/>
        <w:t>Referências</w:t>
      </w:r>
    </w:p>
    <w:p>
      <w:pPr>
        <w:pStyle w:val="Bibliography"/>
        <w:rPr/>
      </w:pPr>
      <w:r>
        <w:rPr/>
        <w:t xml:space="preserve">ALDAIRI, Jasim; KHAN, M. K.; MUNIVE-HERNANDEZ, J. Eduardo. </w:t>
      </w:r>
      <w:hyperlink r:id="rId13">
        <w:r>
          <w:rPr>
            <w:rStyle w:val="Hyperlink"/>
          </w:rPr>
          <w:t>Knowledge-based Lean Six Sigma maintenance system for sustainable buildings</w:t>
        </w:r>
      </w:hyperlink>
      <w:r>
        <w:rPr/>
        <w:t xml:space="preserve">. </w:t>
      </w:r>
      <w:r>
        <w:rPr>
          <w:b/>
          <w:bCs/>
        </w:rPr>
        <w:t>International Journal of Lean Six Sigma</w:t>
      </w:r>
      <w:r>
        <w:rPr/>
        <w:t>, v. 8, n. 1, p. 109–130, 2017.</w:t>
      </w:r>
      <w:bookmarkEnd w:id="27"/>
    </w:p>
    <w:p>
      <w:pPr>
        <w:pStyle w:val="Bibliography"/>
        <w:rPr/>
      </w:pPr>
      <w:bookmarkStart w:id="28" w:name="ref-alfalah_frameworkeducacional_2022"/>
      <w:r>
        <w:rPr/>
        <w:t xml:space="preserve">ALFALAH, Ghasan </w:t>
      </w:r>
      <w:r>
        <w:rPr>
          <w:i/>
          <w:iCs/>
        </w:rPr>
        <w:t>et al.</w:t>
      </w:r>
      <w:r>
        <w:rPr/>
        <w:t xml:space="preserve"> </w:t>
      </w:r>
      <w:hyperlink r:id="rId14">
        <w:r>
          <w:rPr>
            <w:rStyle w:val="Hyperlink"/>
          </w:rPr>
          <w:t>An integrated fuzzy-based sustainability framework for post-secondary educational buildings: a user-perspective approach</w:t>
        </w:r>
      </w:hyperlink>
      <w:r>
        <w:rPr/>
        <w:t xml:space="preserve">. </w:t>
      </w:r>
      <w:r>
        <w:rPr>
          <w:b/>
          <w:bCs/>
        </w:rPr>
        <w:t>Sustainability</w:t>
      </w:r>
      <w:r>
        <w:rPr/>
        <w:t>, v. 14, n. 16, p. 9955, 2022.</w:t>
      </w:r>
      <w:bookmarkEnd w:id="28"/>
    </w:p>
    <w:p>
      <w:pPr>
        <w:pStyle w:val="Bibliography"/>
        <w:rPr/>
      </w:pPr>
      <w:bookmarkStart w:id="29" w:name="ref-alici_iotambientes_2026"/>
      <w:r>
        <w:rPr/>
        <w:t xml:space="preserve">ALICI, Nedim. </w:t>
      </w:r>
      <w:hyperlink r:id="rId15">
        <w:r>
          <w:rPr>
            <w:rStyle w:val="Hyperlink"/>
          </w:rPr>
          <w:t>IoT-enabled indoor environments in smart cities: a systematic review on energy efficiency, user comfort, and environmental sustainability</w:t>
        </w:r>
      </w:hyperlink>
      <w:r>
        <w:rPr/>
        <w:t xml:space="preserve">. </w:t>
      </w:r>
      <w:r>
        <w:rPr>
          <w:b/>
          <w:bCs/>
        </w:rPr>
        <w:t>Frontiers in Sustainability</w:t>
      </w:r>
      <w:r>
        <w:rPr/>
        <w:t>, v. 7, p. 1751337, 2026.</w:t>
      </w:r>
      <w:bookmarkEnd w:id="29"/>
    </w:p>
    <w:p>
      <w:pPr>
        <w:pStyle w:val="Bibliography"/>
        <w:rPr/>
      </w:pPr>
      <w:bookmarkStart w:id="30" w:name="ref-aliu_barreirasdt_2025"/>
      <w:r>
        <w:rPr/>
        <w:t xml:space="preserve">ALIU, Abdulmalik Adozuka </w:t>
      </w:r>
      <w:r>
        <w:rPr>
          <w:i/>
          <w:iCs/>
        </w:rPr>
        <w:t>et al.</w:t>
      </w:r>
      <w:r>
        <w:rPr/>
        <w:t xml:space="preserve"> </w:t>
      </w:r>
      <w:hyperlink r:id="rId16">
        <w:r>
          <w:rPr>
            <w:rStyle w:val="Hyperlink"/>
          </w:rPr>
          <w:t>Barriers to digital transformation in facilities management: insights from a developing country</w:t>
        </w:r>
      </w:hyperlink>
      <w:r>
        <w:rPr/>
        <w:t xml:space="preserve">. </w:t>
      </w:r>
      <w:r>
        <w:rPr>
          <w:b/>
          <w:bCs/>
        </w:rPr>
        <w:t>Journal of Construction in Developing Countries</w:t>
      </w:r>
      <w:r>
        <w:rPr/>
        <w:t>, v. 30, n. 2, p. 137–168, 2025.</w:t>
      </w:r>
      <w:bookmarkEnd w:id="30"/>
    </w:p>
    <w:p>
      <w:pPr>
        <w:pStyle w:val="Bibliography"/>
        <w:rPr/>
      </w:pPr>
      <w:bookmarkStart w:id="31" w:name="ref-araujoneto_manutencaolegislacao_2015"/>
      <w:r>
        <w:rPr/>
        <w:t xml:space="preserve">ARAÚJO NETO, Paschoal Gavazza de. </w:t>
      </w:r>
      <w:hyperlink r:id="rId17">
        <w:r>
          <w:rPr>
            <w:rStyle w:val="Hyperlink"/>
          </w:rPr>
          <w:t>A manutenção predial nas edificações públicas, um estudo sobre a legislação</w:t>
        </w:r>
      </w:hyperlink>
      <w:r>
        <w:rPr/>
        <w:t xml:space="preserve">. </w:t>
      </w:r>
      <w:r>
        <w:rPr>
          <w:b/>
          <w:bCs/>
        </w:rPr>
        <w:t>E&amp;S Engineering and Science</w:t>
      </w:r>
      <w:r>
        <w:rPr/>
        <w:t>, v. 3, n. 1, p. 85–93, 2015.</w:t>
      </w:r>
      <w:bookmarkEnd w:id="31"/>
    </w:p>
    <w:p>
      <w:pPr>
        <w:pStyle w:val="Bibliography"/>
        <w:rPr/>
      </w:pPr>
      <w:bookmarkStart w:id="32" w:name="ref-abnt_nbr5674_2012"/>
      <w:r>
        <w:rPr/>
        <w:t xml:space="preserve">ASSOCIAÇÃO BRASILEIRA DE NORMAS TÉCNICAS. </w:t>
      </w:r>
      <w:r>
        <w:rPr>
          <w:b/>
          <w:bCs/>
        </w:rPr>
        <w:t>NBR 5674: manutenção de edificações, requisitos para o sistema de gestão de manutenção</w:t>
      </w:r>
      <w:r>
        <w:rPr/>
        <w:t>. Rio de Janeiro: ABNT, 2012.</w:t>
      </w:r>
      <w:bookmarkEnd w:id="32"/>
    </w:p>
    <w:p>
      <w:pPr>
        <w:pStyle w:val="Bibliography"/>
        <w:rPr/>
      </w:pPr>
      <w:bookmarkStart w:id="33" w:name="ref-awuzie_fmuniversidades_2017"/>
      <w:r>
        <w:rPr/>
        <w:t xml:space="preserve">AWUZIE, Bankole Osita; ISA, Rasheed. </w:t>
      </w:r>
      <w:hyperlink r:id="rId18">
        <w:r>
          <w:rPr>
            <w:rStyle w:val="Hyperlink"/>
          </w:rPr>
          <w:t>Stakeholders’ perception of critical success factors for sustainable facilities management practice in universities in sub-Saharan Africa</w:t>
        </w:r>
      </w:hyperlink>
      <w:r>
        <w:rPr/>
        <w:t xml:space="preserve">. </w:t>
      </w:r>
      <w:r>
        <w:rPr>
          <w:b/>
          <w:bCs/>
        </w:rPr>
        <w:t>Acta Structilia</w:t>
      </w:r>
      <w:r>
        <w:rPr/>
        <w:t>, v. 24, n. 2, p. 106–127, 2017.</w:t>
      </w:r>
      <w:bookmarkEnd w:id="33"/>
    </w:p>
    <w:p>
      <w:pPr>
        <w:pStyle w:val="Bibliography"/>
        <w:rPr/>
      </w:pPr>
      <w:bookmarkStart w:id="34" w:name="X8197757cb75e327dcc86b36afee00a28411c12b"/>
      <w:r>
        <w:rPr/>
        <w:t xml:space="preserve">BARBOSA, Ana Maria da Silva </w:t>
      </w:r>
      <w:r>
        <w:rPr>
          <w:i/>
          <w:iCs/>
        </w:rPr>
        <w:t>et al.</w:t>
      </w:r>
      <w:r>
        <w:rPr/>
        <w:t xml:space="preserve"> </w:t>
      </w:r>
      <w:hyperlink r:id="rId19">
        <w:r>
          <w:rPr>
            <w:rStyle w:val="Hyperlink"/>
          </w:rPr>
          <w:t>A gestão de facilities na manutenção de uma instituição pública</w:t>
        </w:r>
      </w:hyperlink>
      <w:r>
        <w:rPr/>
        <w:t xml:space="preserve">. </w:t>
      </w:r>
      <w:r>
        <w:rPr>
          <w:b/>
          <w:bCs/>
        </w:rPr>
        <w:t>Revista Gestão Industrial</w:t>
      </w:r>
      <w:r>
        <w:rPr/>
        <w:t>, v. 16, n. 3, p. 129–146, 2020.</w:t>
      </w:r>
      <w:bookmarkEnd w:id="34"/>
    </w:p>
    <w:p>
      <w:pPr>
        <w:pStyle w:val="Bibliography"/>
        <w:rPr/>
      </w:pPr>
      <w:bookmarkStart w:id="35" w:name="ref-chew_manutenibilidadeverde_2016"/>
      <w:r>
        <w:rPr/>
        <w:t xml:space="preserve">CHEW, Michael Yit Lin; CONEJOS, Sheila. </w:t>
      </w:r>
      <w:hyperlink r:id="rId20">
        <w:r>
          <w:rPr>
            <w:rStyle w:val="Hyperlink"/>
          </w:rPr>
          <w:t>Developing a green maintainability framework for green walls in Singapore</w:t>
        </w:r>
      </w:hyperlink>
      <w:r>
        <w:rPr/>
        <w:t xml:space="preserve">. </w:t>
      </w:r>
      <w:r>
        <w:rPr>
          <w:b/>
          <w:bCs/>
        </w:rPr>
        <w:t>Structural Survey</w:t>
      </w:r>
      <w:r>
        <w:rPr/>
        <w:t>, v. 34, n. 4/5, p. 379–406, 2016.</w:t>
      </w:r>
      <w:bookmarkEnd w:id="35"/>
    </w:p>
    <w:p>
      <w:pPr>
        <w:pStyle w:val="Bibliography"/>
        <w:rPr/>
      </w:pPr>
      <w:bookmarkStart w:id="36" w:name="ref-conejos_verticalgreenery_2019"/>
      <w:r>
        <w:rPr/>
        <w:t xml:space="preserve">CONEJOS, Sheila; CHEW, Michael Yit Lin; AZRIL, Fikril Hakim Bin. </w:t>
      </w:r>
      <w:hyperlink r:id="rId21">
        <w:r>
          <w:rPr>
            <w:rStyle w:val="Hyperlink"/>
          </w:rPr>
          <w:t>Green maintainability assessment of high-rise vertical greenery systems</w:t>
        </w:r>
      </w:hyperlink>
      <w:r>
        <w:rPr/>
        <w:t xml:space="preserve">. </w:t>
      </w:r>
      <w:r>
        <w:rPr>
          <w:b/>
          <w:bCs/>
        </w:rPr>
        <w:t>Facilities</w:t>
      </w:r>
      <w:r>
        <w:rPr/>
        <w:t>, v. 37, n. 13/14, p. 1008–1047, 2019.</w:t>
      </w:r>
      <w:bookmarkEnd w:id="36"/>
    </w:p>
    <w:p>
      <w:pPr>
        <w:pStyle w:val="Bibliography"/>
        <w:rPr/>
      </w:pPr>
      <w:bookmarkStart w:id="37" w:name="ref-crossref_restapi_2026"/>
      <w:r>
        <w:rPr/>
        <w:t xml:space="preserve">CROSSREF. </w:t>
      </w:r>
      <w:r>
        <w:rPr>
          <w:b/>
          <w:bCs/>
        </w:rPr>
        <w:t>REST API: metadata retrieval</w:t>
      </w:r>
      <w:r>
        <w:rPr/>
        <w:t>. Disponível em: &lt;</w:t>
      </w:r>
      <w:hyperlink r:id="rId22">
        <w:r>
          <w:rPr>
            <w:rStyle w:val="Hyperlink"/>
          </w:rPr>
          <w:t>https://www.crossref.org/documentation/retrieve-metadata/rest-api/</w:t>
        </w:r>
      </w:hyperlink>
      <w:r>
        <w:rPr/>
        <w:t>&gt;. Acesso em: 10 jul. 2026.</w:t>
      </w:r>
      <w:bookmarkEnd w:id="37"/>
    </w:p>
    <w:p>
      <w:pPr>
        <w:pStyle w:val="Bibliography"/>
        <w:rPr/>
      </w:pPr>
      <w:bookmarkStart w:id="38" w:name="ref-das_iotai_2025"/>
      <w:r>
        <w:rPr/>
        <w:t xml:space="preserve">DAS, Dillip Kumar. </w:t>
      </w:r>
      <w:hyperlink r:id="rId23">
        <w:r>
          <w:rPr>
            <w:rStyle w:val="Hyperlink"/>
          </w:rPr>
          <w:t>Integrating IoT and AI for Sustainable Energy-Efficient Smart Building: Potential, Barriers and Strategic Pathways</w:t>
        </w:r>
      </w:hyperlink>
      <w:r>
        <w:rPr/>
        <w:t xml:space="preserve">. </w:t>
      </w:r>
      <w:r>
        <w:rPr>
          <w:b/>
          <w:bCs/>
        </w:rPr>
        <w:t>Sustainability</w:t>
      </w:r>
      <w:r>
        <w:rPr/>
        <w:t>, v. 17, n. 22, p. 10313, 2025.</w:t>
      </w:r>
      <w:bookmarkEnd w:id="38"/>
    </w:p>
    <w:p>
      <w:pPr>
        <w:pStyle w:val="Bibliography"/>
        <w:rPr/>
      </w:pPr>
      <w:bookmarkStart w:id="39" w:name="ref-deng_bimdigitaltwins_2021"/>
      <w:r>
        <w:rPr/>
        <w:t xml:space="preserve">DENG, Min; MENASSA, Carol C.; KAMAT, Vineet R. </w:t>
      </w:r>
      <w:hyperlink r:id="rId24">
        <w:r>
          <w:rPr>
            <w:rStyle w:val="Hyperlink"/>
          </w:rPr>
          <w:t>From BIM to digital twins: a systematic review of the evolution of intelligent building representations in the AEC-FM industry</w:t>
        </w:r>
      </w:hyperlink>
      <w:r>
        <w:rPr/>
        <w:t xml:space="preserve">. </w:t>
      </w:r>
      <w:r>
        <w:rPr>
          <w:b/>
          <w:bCs/>
        </w:rPr>
        <w:t>Journal of Information Technology in Construction (ITcon)</w:t>
      </w:r>
      <w:r>
        <w:rPr/>
        <w:t>, v. 26, p. 58–83, 2021.</w:t>
      </w:r>
      <w:bookmarkEnd w:id="39"/>
    </w:p>
    <w:p>
      <w:pPr>
        <w:pStyle w:val="Bibliography"/>
        <w:rPr/>
      </w:pPr>
      <w:bookmarkStart w:id="40" w:name="ref-donthu_bibliometria_2021"/>
      <w:r>
        <w:rPr/>
        <w:t xml:space="preserve">DONTHU, Naveen </w:t>
      </w:r>
      <w:r>
        <w:rPr>
          <w:i/>
          <w:iCs/>
        </w:rPr>
        <w:t>et al.</w:t>
      </w:r>
      <w:r>
        <w:rPr/>
        <w:t xml:space="preserve"> </w:t>
      </w:r>
      <w:hyperlink r:id="rId25">
        <w:r>
          <w:rPr>
            <w:rStyle w:val="Hyperlink"/>
          </w:rPr>
          <w:t>How to conduct a bibliometric analysis: an overview and guidelines</w:t>
        </w:r>
      </w:hyperlink>
      <w:r>
        <w:rPr/>
        <w:t xml:space="preserve">. </w:t>
      </w:r>
      <w:r>
        <w:rPr>
          <w:b/>
          <w:bCs/>
        </w:rPr>
        <w:t>Journal of Business Research</w:t>
      </w:r>
      <w:r>
        <w:rPr/>
        <w:t>, v. 133, p. 285–296, 2021.</w:t>
      </w:r>
      <w:bookmarkEnd w:id="40"/>
    </w:p>
    <w:p>
      <w:pPr>
        <w:pStyle w:val="Bibliography"/>
        <w:rPr/>
      </w:pPr>
      <w:bookmarkStart w:id="41" w:name="ref-gispert_ontologiaativos_2025"/>
      <w:r>
        <w:rPr/>
        <w:t xml:space="preserve">ESPINOSA GISPERT, Diego </w:t>
      </w:r>
      <w:r>
        <w:rPr>
          <w:i/>
          <w:iCs/>
        </w:rPr>
        <w:t>et al.</w:t>
      </w:r>
      <w:r>
        <w:rPr/>
        <w:t xml:space="preserve"> </w:t>
      </w:r>
      <w:hyperlink r:id="rId26">
        <w:r>
          <w:rPr>
            <w:rStyle w:val="Hyperlink"/>
          </w:rPr>
          <w:t>Development of an ontology-based asset information model for predictive maintenance in building facilities</w:t>
        </w:r>
      </w:hyperlink>
      <w:r>
        <w:rPr/>
        <w:t xml:space="preserve">. </w:t>
      </w:r>
      <w:r>
        <w:rPr>
          <w:b/>
          <w:bCs/>
        </w:rPr>
        <w:t>Smart and Sustainable Built Environment</w:t>
      </w:r>
      <w:r>
        <w:rPr/>
        <w:t>, v. 14, n. 3, p. 740–757, 2025.</w:t>
      </w:r>
      <w:bookmarkEnd w:id="41"/>
    </w:p>
    <w:p>
      <w:pPr>
        <w:pStyle w:val="Bibliography"/>
        <w:rPr/>
      </w:pPr>
      <w:bookmarkStart w:id="42" w:name="ref-ferreira_manutencaoceramica_2020"/>
      <w:r>
        <w:rPr/>
        <w:t xml:space="preserve">FERREIRA, Cláudia </w:t>
      </w:r>
      <w:r>
        <w:rPr>
          <w:i/>
          <w:iCs/>
        </w:rPr>
        <w:t>et al.</w:t>
      </w:r>
      <w:r>
        <w:rPr/>
        <w:t xml:space="preserve"> </w:t>
      </w:r>
      <w:hyperlink r:id="rId27">
        <w:r>
          <w:rPr>
            <w:rStyle w:val="Hyperlink"/>
          </w:rPr>
          <w:t>Stochastic maintenance models for ceramic claddings</w:t>
        </w:r>
      </w:hyperlink>
      <w:r>
        <w:rPr/>
        <w:t xml:space="preserve">. </w:t>
      </w:r>
      <w:r>
        <w:rPr>
          <w:b/>
          <w:bCs/>
        </w:rPr>
        <w:t>Structure and Infrastructure Engineering</w:t>
      </w:r>
      <w:r>
        <w:rPr/>
        <w:t>, v. 16, n. 2, p. 247–265, 2020.</w:t>
      </w:r>
      <w:bookmarkEnd w:id="42"/>
    </w:p>
    <w:p>
      <w:pPr>
        <w:pStyle w:val="Bibliography"/>
        <w:rPr/>
      </w:pPr>
      <w:bookmarkStart w:id="43" w:name="ref-goretti_bimoem_2023"/>
      <w:r>
        <w:rPr/>
        <w:t xml:space="preserve">GORETTI, Hannah A.; KAMING, Peter. </w:t>
      </w:r>
      <w:hyperlink r:id="rId28">
        <w:r>
          <w:rPr>
            <w:rStyle w:val="Hyperlink"/>
          </w:rPr>
          <w:t>A review and bibliometric analysis of utilizing building information modeling (BIM) on effective operation and maintenance (O&amp;M)</w:t>
        </w:r>
      </w:hyperlink>
      <w:r>
        <w:rPr/>
        <w:t xml:space="preserve">. </w:t>
      </w:r>
      <w:r>
        <w:rPr>
          <w:b/>
          <w:bCs/>
        </w:rPr>
        <w:t>E3S Web of Conferences</w:t>
      </w:r>
      <w:r>
        <w:rPr/>
        <w:t>, v. 429, p. 01002, 2023.</w:t>
      </w:r>
      <w:bookmarkEnd w:id="43"/>
    </w:p>
    <w:p>
      <w:pPr>
        <w:pStyle w:val="Bibliography"/>
        <w:rPr/>
      </w:pPr>
      <w:bookmarkStart w:id="44" w:name="ref-hu_revisao_sintese_2026"/>
      <w:r>
        <w:rPr/>
        <w:t xml:space="preserve">HU, Meilan </w:t>
      </w:r>
      <w:r>
        <w:rPr>
          <w:i/>
          <w:iCs/>
        </w:rPr>
        <w:t>et al.</w:t>
      </w:r>
      <w:r>
        <w:rPr/>
        <w:t xml:space="preserve"> </w:t>
      </w:r>
      <w:hyperlink r:id="rId29">
        <w:r>
          <w:rPr>
            <w:rStyle w:val="Hyperlink"/>
          </w:rPr>
          <w:t>From review to synthesis: a step-by-step methodological guide to systematic reviews and multilevel meta-analyses</w:t>
        </w:r>
      </w:hyperlink>
      <w:r>
        <w:rPr/>
        <w:t xml:space="preserve">. </w:t>
      </w:r>
      <w:r>
        <w:rPr>
          <w:b/>
          <w:bCs/>
        </w:rPr>
        <w:t>Behavior Research Methods</w:t>
      </w:r>
      <w:r>
        <w:rPr/>
        <w:t>, v. 58, n. 7, p. 197, 2026.</w:t>
      </w:r>
      <w:bookmarkEnd w:id="44"/>
    </w:p>
    <w:p>
      <w:pPr>
        <w:pStyle w:val="Bibliography"/>
        <w:rPr/>
      </w:pPr>
      <w:bookmarkStart w:id="45" w:name="ref-jiang_deduplicacao_regras_2014"/>
      <w:r>
        <w:rPr/>
        <w:t xml:space="preserve">JIANG, Yu </w:t>
      </w:r>
      <w:r>
        <w:rPr>
          <w:i/>
          <w:iCs/>
        </w:rPr>
        <w:t>et al.</w:t>
      </w:r>
      <w:r>
        <w:rPr/>
        <w:t xml:space="preserve"> </w:t>
      </w:r>
      <w:hyperlink r:id="rId30">
        <w:r>
          <w:rPr>
            <w:rStyle w:val="Hyperlink"/>
          </w:rPr>
          <w:t>Rule-based deduplication of article records from bibliographic databases</w:t>
        </w:r>
      </w:hyperlink>
      <w:r>
        <w:rPr/>
        <w:t xml:space="preserve">. </w:t>
      </w:r>
      <w:r>
        <w:rPr>
          <w:b/>
          <w:bCs/>
        </w:rPr>
        <w:t>Database</w:t>
      </w:r>
      <w:r>
        <w:rPr/>
        <w:t>, v. 2014, p. bat086, 2014.</w:t>
      </w:r>
      <w:bookmarkEnd w:id="45"/>
    </w:p>
    <w:p>
      <w:pPr>
        <w:pStyle w:val="Bibliography"/>
        <w:rPr/>
      </w:pPr>
      <w:bookmarkStart w:id="46" w:name="ref-kim_estimativacustoseducacional_2018"/>
      <w:r>
        <w:rPr/>
        <w:t xml:space="preserve">KIM, Ji-Myong </w:t>
      </w:r>
      <w:r>
        <w:rPr>
          <w:i/>
          <w:iCs/>
        </w:rPr>
        <w:t>et al.</w:t>
      </w:r>
      <w:r>
        <w:rPr/>
        <w:t xml:space="preserve"> </w:t>
      </w:r>
      <w:hyperlink r:id="rId31">
        <w:r>
          <w:rPr>
            <w:rStyle w:val="Hyperlink"/>
          </w:rPr>
          <w:t>Development of a maintenance and repair cost estimation model for educational buildings using regression analysis</w:t>
        </w:r>
      </w:hyperlink>
      <w:r>
        <w:rPr/>
        <w:t xml:space="preserve">. </w:t>
      </w:r>
      <w:r>
        <w:rPr>
          <w:b/>
          <w:bCs/>
        </w:rPr>
        <w:t>Journal of Asian Architecture and Building Engineering</w:t>
      </w:r>
      <w:r>
        <w:rPr/>
        <w:t>, v. 17, n. 2, p. 307–312, 2018.</w:t>
      </w:r>
      <w:bookmarkEnd w:id="46"/>
    </w:p>
    <w:p>
      <w:pPr>
        <w:pStyle w:val="Bibliography"/>
        <w:rPr/>
      </w:pPr>
      <w:bookmarkStart w:id="47" w:name="ref-lateef_manutencaouniversidade_2010"/>
      <w:r>
        <w:rPr/>
        <w:t xml:space="preserve">LATEEF, Olanrewaju Abdul; KHAMIDI, Mohd Faris; IDRUS, Arazi. Building maintenance management in a Malaysian university campuses: a case study. </w:t>
      </w:r>
      <w:r>
        <w:rPr>
          <w:b/>
          <w:bCs/>
        </w:rPr>
        <w:t>Australasian Journal of Construction Economics and Building</w:t>
      </w:r>
      <w:r>
        <w:rPr/>
        <w:t>, v. 10, n. 1/2, p. 76–89, 2010.</w:t>
      </w:r>
      <w:bookmarkEnd w:id="47"/>
    </w:p>
    <w:p>
      <w:pPr>
        <w:pStyle w:val="Bibliography"/>
        <w:rPr/>
      </w:pPr>
      <w:bookmarkStart w:id="48" w:name="ref-maia_gestaoinformacaomanutencao_2016"/>
      <w:r>
        <w:rPr/>
        <w:t xml:space="preserve">MAIA, Barbara Lepca; SCHEER, Sérgio; FREITAS, Maria do Carmo Duarte. Manutenção predial: a prospecta de decisões a partir da gestão da informação. </w:t>
      </w:r>
      <w:r>
        <w:rPr>
          <w:b/>
          <w:bCs/>
        </w:rPr>
        <w:t>Revista de Engenharia e Tecnologia</w:t>
      </w:r>
      <w:r>
        <w:rPr/>
        <w:t>, v. 8, n. 3, p. 37–55, 2016.</w:t>
      </w:r>
      <w:bookmarkEnd w:id="48"/>
    </w:p>
    <w:p>
      <w:pPr>
        <w:pStyle w:val="Bibliography"/>
        <w:rPr/>
      </w:pPr>
      <w:bookmarkStart w:id="49" w:name="ref-martins_custosmanutencaoses_2024"/>
      <w:r>
        <w:rPr/>
        <w:t xml:space="preserve">MARTINS, Rafael Fernando Batista; ESPEJO, Márcia Maria dos Santos Bortolocci. </w:t>
      </w:r>
      <w:hyperlink r:id="rId32">
        <w:r>
          <w:rPr>
            <w:rStyle w:val="Hyperlink"/>
          </w:rPr>
          <w:t>Análise de custos de manutenção predial em uma universidade federal brasileira com uso do modelo de suavização exponencial simples</w:t>
        </w:r>
      </w:hyperlink>
      <w:r>
        <w:rPr/>
        <w:t xml:space="preserve">. </w:t>
      </w:r>
      <w:r>
        <w:rPr>
          <w:b/>
          <w:bCs/>
        </w:rPr>
        <w:t>ABCustos</w:t>
      </w:r>
      <w:r>
        <w:rPr/>
        <w:t>, v. 19, n. 1, p. 79–98, 2024.</w:t>
      </w:r>
      <w:bookmarkEnd w:id="49"/>
    </w:p>
    <w:p>
      <w:pPr>
        <w:pStyle w:val="Bibliography"/>
        <w:rPr/>
      </w:pPr>
      <w:bookmarkStart w:id="50" w:name="ref-masmoudi_ahptopsis_2026"/>
      <w:r>
        <w:rPr/>
        <w:t xml:space="preserve">MASMOUDI, Malek </w:t>
      </w:r>
      <w:r>
        <w:rPr>
          <w:i/>
          <w:iCs/>
        </w:rPr>
        <w:t>et al.</w:t>
      </w:r>
      <w:r>
        <w:rPr/>
        <w:t xml:space="preserve"> </w:t>
      </w:r>
      <w:hyperlink r:id="rId33">
        <w:r>
          <w:rPr>
            <w:rStyle w:val="Hyperlink"/>
          </w:rPr>
          <w:t>Contractors allocation for public building maintenance: a sustainable approach aligned with SDGs using AHP-TOPSIS and bi-objective optimization</w:t>
        </w:r>
      </w:hyperlink>
      <w:r>
        <w:rPr/>
        <w:t xml:space="preserve">. </w:t>
      </w:r>
      <w:r>
        <w:rPr>
          <w:b/>
          <w:bCs/>
        </w:rPr>
        <w:t>International Transactions in Operational Research</w:t>
      </w:r>
      <w:r>
        <w:rPr/>
        <w:t>, v. 33, n. 4, p. 2535–2576, 2026.</w:t>
      </w:r>
      <w:bookmarkEnd w:id="50"/>
    </w:p>
    <w:p>
      <w:pPr>
        <w:pStyle w:val="Bibliography"/>
        <w:rPr/>
      </w:pPr>
      <w:bookmarkStart w:id="51" w:name="ref-morais_eficienciamanutencao_2023"/>
      <w:r>
        <w:rPr/>
        <w:t xml:space="preserve">MORAIS, Lucas Salomão Rael de; PAULA, Heber Martins de; REIS, Ricardo Prado Abreu. </w:t>
      </w:r>
      <w:hyperlink r:id="rId34">
        <w:r>
          <w:rPr>
            <w:rStyle w:val="Hyperlink"/>
          </w:rPr>
          <w:t>Promoção da eficiência da manutenção predial em edificações públicas: abordagem baseada em registros de ordens de serviço</w:t>
        </w:r>
      </w:hyperlink>
      <w:r>
        <w:rPr/>
        <w:t xml:space="preserve">. </w:t>
      </w:r>
      <w:r>
        <w:rPr>
          <w:b/>
          <w:bCs/>
        </w:rPr>
        <w:t>Paranoá</w:t>
      </w:r>
      <w:r>
        <w:rPr/>
        <w:t>, v. 16, n. 34, p. 1–27, 2023.</w:t>
      </w:r>
      <w:bookmarkEnd w:id="51"/>
    </w:p>
    <w:p>
      <w:pPr>
        <w:pStyle w:val="Bibliography"/>
        <w:rPr/>
      </w:pPr>
      <w:bookmarkStart w:id="52" w:name="ref-motuziene_ventilacaoia_2025"/>
      <w:r>
        <w:rPr/>
        <w:t xml:space="preserve">MOTUZIENĖ, Violeta </w:t>
      </w:r>
      <w:r>
        <w:rPr>
          <w:i/>
          <w:iCs/>
        </w:rPr>
        <w:t>et al.</w:t>
      </w:r>
      <w:r>
        <w:rPr/>
        <w:t xml:space="preserve"> </w:t>
      </w:r>
      <w:hyperlink r:id="rId35">
        <w:r>
          <w:rPr>
            <w:rStyle w:val="Hyperlink"/>
          </w:rPr>
          <w:t>Occupancy-Based Predictive AI-Driven Ventilation Control for Energy Savings in Office Buildings</w:t>
        </w:r>
      </w:hyperlink>
      <w:r>
        <w:rPr/>
        <w:t xml:space="preserve">. </w:t>
      </w:r>
      <w:r>
        <w:rPr>
          <w:b/>
          <w:bCs/>
        </w:rPr>
        <w:t>Sustainability</w:t>
      </w:r>
      <w:r>
        <w:rPr/>
        <w:t>, v. 17, n. 9, p. 4140, 2025.</w:t>
      </w:r>
      <w:bookmarkEnd w:id="52"/>
    </w:p>
    <w:p>
      <w:pPr>
        <w:pStyle w:val="Bibliography"/>
        <w:rPr/>
      </w:pPr>
      <w:bookmarkStart w:id="53" w:name="ref-nageli_ciclovida_2019"/>
      <w:r>
        <w:rPr/>
        <w:t xml:space="preserve">NÄGELI, Claudio </w:t>
      </w:r>
      <w:r>
        <w:rPr>
          <w:i/>
          <w:iCs/>
        </w:rPr>
        <w:t>et al.</w:t>
      </w:r>
      <w:r>
        <w:rPr/>
        <w:t xml:space="preserve"> </w:t>
      </w:r>
      <w:hyperlink r:id="rId36">
        <w:r>
          <w:rPr>
            <w:rStyle w:val="Hyperlink"/>
          </w:rPr>
          <w:t>A service-life cycle approach to maintenance and energy retrofit planning for building portfolios</w:t>
        </w:r>
      </w:hyperlink>
      <w:r>
        <w:rPr/>
        <w:t xml:space="preserve">. </w:t>
      </w:r>
      <w:r>
        <w:rPr>
          <w:b/>
          <w:bCs/>
        </w:rPr>
        <w:t>Building and Environment</w:t>
      </w:r>
      <w:r>
        <w:rPr/>
        <w:t>, v. 160, p. 106212, 2019.</w:t>
      </w:r>
      <w:bookmarkEnd w:id="53"/>
    </w:p>
    <w:p>
      <w:pPr>
        <w:pStyle w:val="Bibliography"/>
        <w:rPr/>
      </w:pPr>
      <w:bookmarkStart w:id="54" w:name="ref-naji_campusdelphi_2023"/>
      <w:r>
        <w:rPr/>
        <w:t xml:space="preserve">NAJI, Khalid K.; GUNDUZ, Murat; MAKI, Omar. </w:t>
      </w:r>
      <w:hyperlink r:id="rId37">
        <w:r>
          <w:rPr>
            <w:rStyle w:val="Hyperlink"/>
          </w:rPr>
          <w:t>Development of a campus facility management operational framework using a modified Delphi method</w:t>
        </w:r>
      </w:hyperlink>
      <w:r>
        <w:rPr/>
        <w:t xml:space="preserve">. </w:t>
      </w:r>
      <w:r>
        <w:rPr>
          <w:b/>
          <w:bCs/>
        </w:rPr>
        <w:t>Journal of Construction Engineering and Management</w:t>
      </w:r>
      <w:r>
        <w:rPr/>
        <w:t>, v. 149, n. 7, p. 04023052, 2023.</w:t>
      </w:r>
      <w:bookmarkEnd w:id="54"/>
    </w:p>
    <w:p>
      <w:pPr>
        <w:pStyle w:val="Bibliography"/>
        <w:rPr/>
      </w:pPr>
      <w:bookmarkStart w:id="55" w:name="X29a0b815a0fa8c82998c6fb0764f2ef94fd929e"/>
      <w:r>
        <w:rPr/>
        <w:t xml:space="preserve">NDUKUBA, Samuel Nnadoziem. </w:t>
      </w:r>
      <w:hyperlink r:id="rId38">
        <w:r>
          <w:rPr>
            <w:rStyle w:val="Hyperlink"/>
          </w:rPr>
          <w:t>Building institutional resilience through sustainable facility management in South African vocational education</w:t>
        </w:r>
      </w:hyperlink>
      <w:r>
        <w:rPr/>
        <w:t xml:space="preserve">. </w:t>
      </w:r>
      <w:r>
        <w:rPr>
          <w:b/>
          <w:bCs/>
        </w:rPr>
        <w:t>Construction Entrepreneurship and Real Property</w:t>
      </w:r>
      <w:r>
        <w:rPr/>
        <w:t>, v. 2, n. 2, p. 110–123, 2025.</w:t>
      </w:r>
      <w:bookmarkEnd w:id="55"/>
    </w:p>
    <w:p>
      <w:pPr>
        <w:pStyle w:val="Bibliography"/>
        <w:rPr/>
      </w:pPr>
      <w:bookmarkStart w:id="56" w:name="ref-nielsen_sustentabilidadefm_2016"/>
      <w:r>
        <w:rPr/>
        <w:t xml:space="preserve">NIELSEN, Susanne Balslev; SARASOJA, Anna-Liisa; GALAMBA, Kirsten Ramskov. </w:t>
      </w:r>
      <w:hyperlink r:id="rId39">
        <w:r>
          <w:rPr>
            <w:rStyle w:val="Hyperlink"/>
          </w:rPr>
          <w:t>Sustainability in facilities management: an overview of current research</w:t>
        </w:r>
      </w:hyperlink>
      <w:r>
        <w:rPr/>
        <w:t xml:space="preserve">. </w:t>
      </w:r>
      <w:r>
        <w:rPr>
          <w:b/>
          <w:bCs/>
        </w:rPr>
        <w:t>Facilities</w:t>
      </w:r>
      <w:r>
        <w:rPr/>
        <w:t>, v. 34, n. 9-10, p. 535–563, 2016.</w:t>
      </w:r>
      <w:bookmarkEnd w:id="56"/>
    </w:p>
    <w:p>
      <w:pPr>
        <w:pStyle w:val="Bibliography"/>
        <w:rPr/>
      </w:pPr>
      <w:bookmarkStart w:id="57" w:name="ref-okoro_sustainablefm_2023"/>
      <w:r>
        <w:rPr/>
        <w:t xml:space="preserve">OKORO, Chioma Sylvia. </w:t>
      </w:r>
      <w:hyperlink r:id="rId40">
        <w:r>
          <w:rPr>
            <w:rStyle w:val="Hyperlink"/>
          </w:rPr>
          <w:t>Sustainable facilities management in the built environment: a mixed-method review</w:t>
        </w:r>
      </w:hyperlink>
      <w:r>
        <w:rPr/>
        <w:t xml:space="preserve">. </w:t>
      </w:r>
      <w:r>
        <w:rPr>
          <w:b/>
          <w:bCs/>
        </w:rPr>
        <w:t>Sustainability</w:t>
      </w:r>
      <w:r>
        <w:rPr/>
        <w:t>, v. 15, n. 4, p. 3174, 2023.</w:t>
      </w:r>
      <w:bookmarkEnd w:id="57"/>
    </w:p>
    <w:p>
      <w:pPr>
        <w:pStyle w:val="Bibliography"/>
        <w:rPr/>
      </w:pPr>
      <w:bookmarkStart w:id="58" w:name="ref-opoku_futurofm_2022"/>
      <w:r>
        <w:rPr/>
        <w:t xml:space="preserve">OPOKU, Alex; LEE, Jeoung Yul. </w:t>
      </w:r>
      <w:hyperlink r:id="rId41">
        <w:r>
          <w:rPr>
            <w:rStyle w:val="Hyperlink"/>
          </w:rPr>
          <w:t>The future of facilities management: managing facilities for sustainable development</w:t>
        </w:r>
      </w:hyperlink>
      <w:r>
        <w:rPr/>
        <w:t xml:space="preserve">. </w:t>
      </w:r>
      <w:r>
        <w:rPr>
          <w:b/>
          <w:bCs/>
        </w:rPr>
        <w:t>Sustainability</w:t>
      </w:r>
      <w:r>
        <w:rPr/>
        <w:t>, v. 14, n. 3, p. 1705, 2022.</w:t>
      </w:r>
      <w:bookmarkEnd w:id="58"/>
    </w:p>
    <w:p>
      <w:pPr>
        <w:pStyle w:val="Bibliography"/>
        <w:rPr/>
      </w:pPr>
      <w:bookmarkStart w:id="59" w:name="ref-othman_manutenibilidadeesi_2023"/>
      <w:r>
        <w:rPr/>
        <w:t xml:space="preserve">OTHMAN, Ayman Ahmed Ezzat; KAMAL, Ahmed. </w:t>
      </w:r>
      <w:hyperlink r:id="rId42">
        <w:r>
          <w:rPr>
            <w:rStyle w:val="Hyperlink"/>
          </w:rPr>
          <w:t>Enhancing building maintainability through early supplier involvement in the design process</w:t>
        </w:r>
      </w:hyperlink>
      <w:r>
        <w:rPr/>
        <w:t xml:space="preserve">. </w:t>
      </w:r>
      <w:r>
        <w:rPr>
          <w:b/>
          <w:bCs/>
        </w:rPr>
        <w:t>Organization, Technology and Management in Construction</w:t>
      </w:r>
      <w:r>
        <w:rPr/>
        <w:t>, v. 15, p. 34–49, 2023.</w:t>
      </w:r>
      <w:bookmarkEnd w:id="59"/>
    </w:p>
    <w:p>
      <w:pPr>
        <w:pStyle w:val="Bibliography"/>
        <w:rPr/>
      </w:pPr>
      <w:bookmarkStart w:id="60" w:name="ref-park_cbrfuzzyahp_2019"/>
      <w:r>
        <w:rPr/>
        <w:t xml:space="preserve">PARK, Sojin; KWON, Nahyun; AHN, Yonghan. </w:t>
      </w:r>
      <w:hyperlink r:id="rId43">
        <w:r>
          <w:rPr>
            <w:rStyle w:val="Hyperlink"/>
          </w:rPr>
          <w:t>Forecasting Repair Schedule for Building Components Based on Case-Based Reasoning and Fuzzy-AHP</w:t>
        </w:r>
      </w:hyperlink>
      <w:r>
        <w:rPr/>
        <w:t xml:space="preserve">. </w:t>
      </w:r>
      <w:r>
        <w:rPr>
          <w:b/>
          <w:bCs/>
        </w:rPr>
        <w:t>Sustainability</w:t>
      </w:r>
      <w:r>
        <w:rPr/>
        <w:t>, v. 11, n. 24, p. 7181, 2019.</w:t>
      </w:r>
      <w:bookmarkEnd w:id="60"/>
    </w:p>
    <w:p>
      <w:pPr>
        <w:pStyle w:val="Bibliography"/>
        <w:rPr/>
      </w:pPr>
      <w:bookmarkStart w:id="61" w:name="ref-ramantswana_esgfm_2026"/>
      <w:r>
        <w:rPr/>
        <w:t xml:space="preserve">RAMANTSWANA, Thabelo </w:t>
      </w:r>
      <w:r>
        <w:rPr>
          <w:i/>
          <w:iCs/>
        </w:rPr>
        <w:t>et al.</w:t>
      </w:r>
      <w:r>
        <w:rPr/>
        <w:t xml:space="preserve"> </w:t>
      </w:r>
      <w:hyperlink r:id="rId44">
        <w:r>
          <w:rPr>
            <w:rStyle w:val="Hyperlink"/>
          </w:rPr>
          <w:t>Embedding ESG in facility management practices: a South African corporate real estate perspective</w:t>
        </w:r>
      </w:hyperlink>
      <w:r>
        <w:rPr/>
        <w:t xml:space="preserve">. </w:t>
      </w:r>
      <w:r>
        <w:rPr>
          <w:b/>
          <w:bCs/>
        </w:rPr>
        <w:t>International Journal of Building Pathology and Adaptation</w:t>
      </w:r>
      <w:r>
        <w:rPr/>
        <w:t>, v. 44, n. 5, p. 1246–1266, 2026.</w:t>
      </w:r>
      <w:bookmarkEnd w:id="61"/>
    </w:p>
    <w:p>
      <w:pPr>
        <w:pStyle w:val="Bibliography"/>
        <w:rPr/>
      </w:pPr>
      <w:bookmarkStart w:id="62" w:name="ref-rathbone_deduplicacao_2015"/>
      <w:r>
        <w:rPr/>
        <w:t xml:space="preserve">RATHBONE, John </w:t>
      </w:r>
      <w:r>
        <w:rPr>
          <w:i/>
          <w:iCs/>
        </w:rPr>
        <w:t>et al.</w:t>
      </w:r>
      <w:r>
        <w:rPr/>
        <w:t xml:space="preserve"> </w:t>
      </w:r>
      <w:hyperlink r:id="rId45">
        <w:r>
          <w:rPr>
            <w:rStyle w:val="Hyperlink"/>
          </w:rPr>
          <w:t>Better duplicate detection for systematic reviewers: evaluation of Systematic Review Assistant-Deduplication Module</w:t>
        </w:r>
      </w:hyperlink>
      <w:r>
        <w:rPr/>
        <w:t xml:space="preserve">. </w:t>
      </w:r>
      <w:r>
        <w:rPr>
          <w:b/>
          <w:bCs/>
        </w:rPr>
        <w:t>Systematic Reviews</w:t>
      </w:r>
      <w:r>
        <w:rPr/>
        <w:t>, v. 4, p. 6, 2015.</w:t>
      </w:r>
      <w:bookmarkEnd w:id="62"/>
    </w:p>
    <w:p>
      <w:pPr>
        <w:pStyle w:val="Bibliography"/>
        <w:rPr/>
      </w:pPr>
      <w:bookmarkStart w:id="63" w:name="ref-snyder_revisaometodologia_2019"/>
      <w:r>
        <w:rPr/>
        <w:t xml:space="preserve">SNYDER, Hannah. </w:t>
      </w:r>
      <w:hyperlink r:id="rId46">
        <w:r>
          <w:rPr>
            <w:rStyle w:val="Hyperlink"/>
          </w:rPr>
          <w:t>Literature review as a research methodology: an overview and guidelines</w:t>
        </w:r>
      </w:hyperlink>
      <w:r>
        <w:rPr/>
        <w:t xml:space="preserve">. </w:t>
      </w:r>
      <w:r>
        <w:rPr>
          <w:b/>
          <w:bCs/>
        </w:rPr>
        <w:t>Journal of Business Research</w:t>
      </w:r>
      <w:r>
        <w:rPr/>
        <w:t>, v. 104, p. 333–339, 2019.</w:t>
      </w:r>
      <w:bookmarkEnd w:id="63"/>
    </w:p>
    <w:p>
      <w:pPr>
        <w:pStyle w:val="Bibliography"/>
        <w:rPr/>
      </w:pPr>
      <w:bookmarkStart w:id="64" w:name="ref-suh_demandaenergiaagua_2012"/>
      <w:r>
        <w:rPr/>
        <w:t xml:space="preserve">SUH, Dongjun; CHANG, Seongju. </w:t>
      </w:r>
      <w:hyperlink r:id="rId47">
        <w:r>
          <w:rPr>
            <w:rStyle w:val="Hyperlink"/>
          </w:rPr>
          <w:t>An Energy and Water Resource Demand Estimation Model for Multi-Family Housing Complexes in Korea</w:t>
        </w:r>
      </w:hyperlink>
      <w:r>
        <w:rPr/>
        <w:t xml:space="preserve">. </w:t>
      </w:r>
      <w:r>
        <w:rPr>
          <w:b/>
          <w:bCs/>
        </w:rPr>
        <w:t>Energies</w:t>
      </w:r>
      <w:r>
        <w:rPr/>
        <w:t>, v. 5, n. 11, p. 4497–4516, 2012.</w:t>
      </w:r>
      <w:bookmarkEnd w:id="64"/>
    </w:p>
    <w:p>
      <w:pPr>
        <w:pStyle w:val="Bibliography"/>
        <w:rPr/>
      </w:pPr>
      <w:bookmarkStart w:id="65" w:name="ref-talib_hospitalfm_2013"/>
      <w:r>
        <w:rPr/>
        <w:t xml:space="preserve">TALIB, Yuhainis; RAJAGOPALAN, Priyadarsini; YANG, Jay. </w:t>
      </w:r>
      <w:hyperlink r:id="rId48">
        <w:r>
          <w:rPr>
            <w:rStyle w:val="Hyperlink"/>
          </w:rPr>
          <w:t>Evaluation of building performance for strategic facilities management in healthcare: a case study of a public hospital in Australia</w:t>
        </w:r>
      </w:hyperlink>
      <w:r>
        <w:rPr/>
        <w:t xml:space="preserve">. </w:t>
      </w:r>
      <w:r>
        <w:rPr>
          <w:b/>
          <w:bCs/>
        </w:rPr>
        <w:t>Facilities</w:t>
      </w:r>
      <w:r>
        <w:rPr/>
        <w:t>, v. 31, n. 13/14, p. 681–701, 2013.</w:t>
      </w:r>
      <w:bookmarkEnd w:id="65"/>
    </w:p>
    <w:p>
      <w:pPr>
        <w:pStyle w:val="Bibliography"/>
        <w:rPr/>
      </w:pPr>
      <w:bookmarkStart w:id="66" w:name="ref-tan_fluxoinformacao_2018"/>
      <w:r>
        <w:rPr/>
        <w:t xml:space="preserve">TAN, Adeline Zhu Teng; ZAMAN, Atiq Uz; SUTRISNA, Monty. </w:t>
      </w:r>
      <w:hyperlink r:id="rId49">
        <w:r>
          <w:rPr>
            <w:rStyle w:val="Hyperlink"/>
          </w:rPr>
          <w:t>Enabling an effective knowledge and information flow between the phases of building construction and facilities management</w:t>
        </w:r>
      </w:hyperlink>
      <w:r>
        <w:rPr/>
        <w:t xml:space="preserve">. </w:t>
      </w:r>
      <w:r>
        <w:rPr>
          <w:b/>
          <w:bCs/>
        </w:rPr>
        <w:t>Facilities</w:t>
      </w:r>
      <w:r>
        <w:rPr/>
        <w:t>, v. 36, n. 3/4, p. 151–170, 2018.</w:t>
      </w:r>
      <w:bookmarkEnd w:id="66"/>
    </w:p>
    <w:p>
      <w:pPr>
        <w:pStyle w:val="Bibliography"/>
        <w:rPr/>
      </w:pPr>
      <w:bookmarkStart w:id="67" w:name="ref-whittemore_revisaointegrativa_2005"/>
      <w:r>
        <w:rPr/>
        <w:t xml:space="preserve">WHITTEMORE, Robin; KNAFL, Kathleen. </w:t>
      </w:r>
      <w:hyperlink r:id="rId50">
        <w:r>
          <w:rPr>
            <w:rStyle w:val="Hyperlink"/>
          </w:rPr>
          <w:t>The integrative review: updated methodology</w:t>
        </w:r>
      </w:hyperlink>
      <w:r>
        <w:rPr/>
        <w:t xml:space="preserve">. </w:t>
      </w:r>
      <w:r>
        <w:rPr>
          <w:b/>
          <w:bCs/>
        </w:rPr>
        <w:t>Journal of Advanced Nursing</w:t>
      </w:r>
      <w:r>
        <w:rPr/>
        <w:t>, v. 52, n. 5, p. 546–553, 2005.</w:t>
      </w:r>
      <w:bookmarkEnd w:id="67"/>
    </w:p>
    <w:p>
      <w:pPr>
        <w:pStyle w:val="Bibliography"/>
        <w:rPr/>
      </w:pPr>
      <w:bookmarkStart w:id="68" w:name="ref-wu_gnnvidautil_2025"/>
      <w:r>
        <w:rPr/>
        <w:t xml:space="preserve">WU, Pei-Yu; MUNDT-PETERSEN, S. Olof. </w:t>
      </w:r>
      <w:hyperlink r:id="rId51">
        <w:r>
          <w:rPr>
            <w:rStyle w:val="Hyperlink"/>
          </w:rPr>
          <w:t>Empirical Quantification and Prediction of Building Component Lifespans with Graph Neural Networks</w:t>
        </w:r>
      </w:hyperlink>
      <w:r>
        <w:rPr/>
        <w:t xml:space="preserve">. </w:t>
      </w:r>
      <w:r>
        <w:rPr>
          <w:b/>
          <w:bCs/>
        </w:rPr>
        <w:t>IOP Conference Series: Earth and Environmental Science</w:t>
      </w:r>
      <w:r>
        <w:rPr/>
        <w:t>, v. 1554, p. 012036, 2025.</w:t>
      </w:r>
      <w:bookmarkEnd w:id="68"/>
    </w:p>
    <w:p>
      <w:pPr>
        <w:pStyle w:val="Bibliography"/>
        <w:spacing w:before="0" w:after="200"/>
        <w:rPr/>
      </w:pPr>
      <w:bookmarkStart w:id="69" w:name="ref-yoon_fuzzyfm_2018"/>
      <w:r>
        <w:rPr/>
        <w:t xml:space="preserve">YOON, Jong Han; CHA, Hee Sung. </w:t>
      </w:r>
      <w:hyperlink r:id="rId52">
        <w:r>
          <w:rPr>
            <w:rStyle w:val="Hyperlink"/>
          </w:rPr>
          <w:t>Optimal FM Strategy for Commercial Office Buildings Using Fuzzy Synthetic Evaluation</w:t>
        </w:r>
      </w:hyperlink>
      <w:r>
        <w:rPr/>
        <w:t xml:space="preserve">. </w:t>
      </w:r>
      <w:r>
        <w:rPr>
          <w:b/>
          <w:bCs/>
        </w:rPr>
        <w:t>Journal of Performance of Constructed Facilities</w:t>
      </w:r>
      <w:r>
        <w:rPr/>
        <w:t>, v. 32, n. 3, p. 04018025, 2018.</w:t>
      </w:r>
      <w:bookmarkEnd w:id="25"/>
      <w:bookmarkEnd w:id="26"/>
      <w:bookmarkEnd w:id="69"/>
    </w:p>
    <w:sectPr>
      <w:type w:val="nextPage"/>
      <w:pgSz w:w="11906" w:h="16838"/>
      <w:pgMar w:top="1701" w:right="1134" w:bottom="1134" w:left="1701" w:header="709" w:footer="709" w:gutter="0"/>
      <w:pgNumType w:fmt="decimal"/>
      <w:formProt w:val="false"/>
      <w:textDirection w:val="lrTb"/>
      <w:docGrid w:type="default" w:linePitch="100" w:charSpace="0"/>
      <w:lnNumType w:countBy="1" w:restart="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Times New Roman" w:hAnsi="Times New Roman" w:eastAsia="Times New Roman"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Times New Roman" w:hAnsi="Times New Roman" w:eastAsia="Times New Roman"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Times New Roman" w:hAnsi="Times New Roman" w:eastAsia="Times New Roman"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Times New Roman" w:hAnsi="Times New Roman" w:eastAsia="Times New Roman"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Times New Roman" w:hAnsi="Times New Roman" w:eastAsia="Times New Roman"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Times New Roman" w:hAnsi="Times New Roman" w:eastAsia="Times New Roman"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Times New Roman" w:hAnsi="Times New Roman" w:eastAsia="Times New Roman"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Times New Roman" w:hAnsi="Times New Roman" w:eastAsia="Times New Roman"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Times New Roman" w:hAnsi="Times New Roman" w:eastAsia="Times New Roman"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2026-08-28T11:35:31Z</dcterms:created>
  <dc:creator/>
  <dc:description/>
  <dc:language>en-US</dc:language>
  <cp:lastModifiedBy/>
  <dcterms:modified xsi:type="dcterms:W3CDTF">2026-08-28T11:35:31Z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abnt.csl</vt:lpwstr>
  </property>
  <property fmtid="{D5CDD505-2E9C-101B-9397-08002B2CF9AE}" pid="4" name="date">
    <vt:lpwstr/>
  </property>
</Properties>
</file>