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p>
      <w:pPr>
        <w:pStyle w:val="BodyText"/>
        <w:rPr/>
      </w:pPr>
      <w:r>
        <w:rPr/>
        <w:t>&gt;p2.7cm &gt;p3.3cm &gt;p4.0cm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0"/>
    </w:p>
    <w:p>
      <w:pPr>
        <w:pStyle w:val="Heading1"/>
        <w:rPr/>
      </w:pPr>
      <w:bookmarkStart w:id="1"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2"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p>
      <w:pPr>
        <w:pStyle w:val="BodyText"/>
        <w:rPr/>
      </w:pPr>
      <w:r>
        <w:rPr/>
        <w:t>&gt;p3.3cm &gt;p1.6cm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p>
      <w:pPr>
        <w:pStyle w:val="BodyText"/>
        <w:rPr/>
      </w:pPr>
      <w:r>
        <w:rPr/>
        <w:t>&gt;p1.8cm &gt;p2.7cm &gt;p2.3cm &gt;p4.1cm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End w:id="2"/>
    </w:p>
    <w:p>
      <w:pPr>
        <w:pStyle w:val="Heading2"/>
        <w:rPr/>
      </w:pPr>
      <w:bookmarkStart w:id="3"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p>
      <w:pPr>
        <w:pStyle w:val="BodyText"/>
        <w:rPr/>
      </w:pPr>
      <w:r>
        <w:rPr/>
        <w:t>&gt;p2.1cm &gt;p2.1cm &gt;p1.6cm &gt;p3.0cm &gt;p1.3cm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blHeader w:val="true"/>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p>
      <w:pPr>
        <w:pStyle w:val="BodyText"/>
        <w:rPr/>
      </w:pPr>
      <w:r>
        <w:rPr/>
        <w:t>&gt;p3.4cm &gt;p2.7cm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End w:id="3"/>
    </w:p>
    <w:p>
      <w:pPr>
        <w:pStyle w:val="Heading2"/>
        <w:rPr/>
      </w:pPr>
      <w:bookmarkStart w:id="4"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4"/>
    </w:p>
    <w:p>
      <w:pPr>
        <w:pStyle w:val="Heading2"/>
        <w:rPr/>
      </w:pPr>
      <w:bookmarkStart w:id="5"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p>
      <w:pPr>
        <w:pStyle w:val="BodyText"/>
        <w:rPr/>
      </w:pPr>
      <w:r>
        <w:rPr/>
        <w:t>&gt;p1.7cm &gt;p1.1cm &gt;p2.5cm &gt;p2.6cm &gt;p2.0cm &gt;p1.1cm &gt;p1.2cm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170"/>
        <w:gridCol w:w="1170"/>
        <w:gridCol w:w="1170"/>
        <w:gridCol w:w="1170"/>
        <w:gridCol w:w="1170"/>
        <w:gridCol w:w="1170"/>
        <w:gridCol w:w="1170"/>
        <w:gridCol w:w="1170"/>
      </w:tblGrid>
      <w:tr>
        <w:trPr>
          <w:tblHeader w:val="true"/>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ImageCaption"/>
        <w:rPr/>
      </w:pPr>
      <w:bookmarkStart w:id="6" w:name="fig%3Afunil"/>
      <w:r>
        <w:rPr/>
        <w:t>Fluxo integrado da busca principal e da busca complementar de sensibilidade</w:t>
      </w:r>
      <w:bookmarkEnd w:id="6"/>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5"/>
    </w:p>
    <w:p>
      <w:pPr>
        <w:pStyle w:val="Heading2"/>
        <w:rPr/>
      </w:pPr>
      <w:bookmarkStart w:id="7"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7"/>
    </w:p>
    <w:p>
      <w:pPr>
        <w:pStyle w:val="Heading2"/>
        <w:rPr/>
      </w:pPr>
      <w:bookmarkStart w:id="8"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
      <w:bookmarkEnd w:id="8"/>
    </w:p>
    <w:p>
      <w:pPr>
        <w:pStyle w:val="Heading1"/>
        <w:rPr/>
      </w:pPr>
      <w:bookmarkStart w:id="9" w:name="sec%3Aresultados"/>
      <w:r>
        <w:rPr>
          <w:rStyle w:val="SectionNumber"/>
        </w:rPr>
        <w:t>3</w:t>
      </w:r>
      <w:r>
        <w:rPr/>
        <w:tab/>
        <w:t>Resultados e discussão</w:t>
      </w:r>
    </w:p>
    <w:p>
      <w:pPr>
        <w:pStyle w:val="Heading2"/>
        <w:rPr/>
      </w:pPr>
      <w:bookmarkStart w:id="10"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bookmarkStart w:id="11" w:name="fig%3Atemporal"/>
      <w:r>
        <w:rPr/>
        <w:drawing>
          <wp:inline distT="0" distB="0" distL="0" distR="0">
            <wp:extent cx="4800600" cy="280035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4800600" cy="2800350"/>
                    </a:xfrm>
                    <a:prstGeom prst="rect">
                      <a:avLst/>
                    </a:prstGeom>
                    <a:noFill/>
                  </pic:spPr>
                </pic:pic>
              </a:graphicData>
            </a:graphic>
          </wp:inline>
        </w:drawing>
      </w:r>
    </w:p>
    <w:p>
      <w:pPr>
        <w:pStyle w:val="ImageCaption"/>
        <w:rPr/>
      </w:pPr>
      <w:r>
        <w:rPr/>
        <w:t>Gráfico 1. Distribuição temporal do núcleo temático vigente</w:t>
      </w:r>
      <w:bookmarkEnd w:id="11"/>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p>
      <w:pPr>
        <w:pStyle w:val="BodyText"/>
        <w:rPr/>
      </w:pPr>
      <w:r>
        <w:rPr/>
        <w:t>&gt;p3.7cm &gt;p1.8cm &gt;p1.8cm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blHeader w:val="true"/>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cantSplit/>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bookmarkStart w:id="12" w:name="fig%3Afontes372"/>
      <w:r>
        <w:rPr/>
        <w:drawing>
          <wp:inline distT="0" distB="0" distL="0" distR="0">
            <wp:extent cx="5227320" cy="3425190"/>
            <wp:effectExtent l="0" t="0" r="0" b="0"/>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227320" cy="3425190"/>
                    </a:xfrm>
                    <a:prstGeom prst="rect">
                      <a:avLst/>
                    </a:prstGeom>
                    <a:noFill/>
                  </pic:spPr>
                </pic:pic>
              </a:graphicData>
            </a:graphic>
          </wp:inline>
        </w:drawing>
      </w:r>
    </w:p>
    <w:p>
      <w:pPr>
        <w:pStyle w:val="ImageCaption"/>
        <w:rPr/>
      </w:pPr>
      <w:r>
        <w:rPr/>
        <w:t>Gráfico 2. Fontes mais frequentes no corpus bibliométrico ampliado</w:t>
      </w:r>
      <w:bookmarkEnd w:id="12"/>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bookmarkStart w:id="13" w:name="fig%3Amapatematico372"/>
      <w:r>
        <w:rPr/>
        <w:drawing>
          <wp:inline distT="0" distB="0" distL="0" distR="0">
            <wp:extent cx="5227320" cy="3595370"/>
            <wp:effectExtent l="0" t="0" r="0" b="0"/>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227320" cy="3595370"/>
                    </a:xfrm>
                    <a:prstGeom prst="rect">
                      <a:avLst/>
                    </a:prstGeom>
                    <a:noFill/>
                  </pic:spPr>
                </pic:pic>
              </a:graphicData>
            </a:graphic>
          </wp:inline>
        </w:drawing>
      </w:r>
    </w:p>
    <w:p>
      <w:pPr>
        <w:pStyle w:val="ImageCaption"/>
        <w:rPr/>
      </w:pPr>
      <w:r>
        <w:rPr/>
        <w:t>Gráfico 3. Mapa temático por centralidade e densidade das palavras-chave</w:t>
      </w:r>
      <w:bookmarkEnd w:id="13"/>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bookmarkStart w:id="14" w:name="fig%3Aredecor372"/>
      <w:r>
        <w:rPr/>
        <w:drawing>
          <wp:inline distT="0" distB="0" distL="0" distR="0">
            <wp:extent cx="5227320" cy="4194810"/>
            <wp:effectExtent l="0" t="0" r="0" b="0"/>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5"/>
                    <a:stretch>
                      <a:fillRect/>
                    </a:stretch>
                  </pic:blipFill>
                  <pic:spPr bwMode="auto">
                    <a:xfrm>
                      <a:off x="0" y="0"/>
                      <a:ext cx="5227320" cy="4194810"/>
                    </a:xfrm>
                    <a:prstGeom prst="rect">
                      <a:avLst/>
                    </a:prstGeom>
                    <a:noFill/>
                  </pic:spPr>
                </pic:pic>
              </a:graphicData>
            </a:graphic>
          </wp:inline>
        </w:drawing>
      </w:r>
    </w:p>
    <w:p>
      <w:pPr>
        <w:pStyle w:val="ImageCaption"/>
        <w:rPr/>
      </w:pPr>
      <w:r>
        <w:rPr/>
        <w:t>Gráfico 4. Rede normalizada de coocorrência de palavras-chave</w:t>
      </w:r>
      <w:bookmarkEnd w:id="14"/>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bookmarkStart w:id="15" w:name="fig%3Aevolucaotematica372"/>
      <w:r>
        <w:rPr/>
        <w:drawing>
          <wp:inline distT="0" distB="0" distL="0" distR="0">
            <wp:extent cx="5227320" cy="4161790"/>
            <wp:effectExtent l="0" t="0" r="0" b="0"/>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227320" cy="4161790"/>
                    </a:xfrm>
                    <a:prstGeom prst="rect">
                      <a:avLst/>
                    </a:prstGeom>
                    <a:noFill/>
                  </pic:spPr>
                </pic:pic>
              </a:graphicData>
            </a:graphic>
          </wp:inline>
        </w:drawing>
      </w:r>
    </w:p>
    <w:p>
      <w:pPr>
        <w:pStyle w:val="ImageCaption"/>
        <w:rPr/>
      </w:pPr>
      <w:r>
        <w:rPr/>
        <w:t>Gráfico 5. Evolução das palavras-chave entre 2010–2020 e 2021–2026</w:t>
      </w:r>
      <w:bookmarkEnd w:id="15"/>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0"/>
    </w:p>
    <w:p>
      <w:pPr>
        <w:pStyle w:val="Heading2"/>
        <w:rPr/>
      </w:pPr>
      <w:bookmarkStart w:id="16"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bookmarkStart w:id="17" w:name="fig%3Adimensoes"/>
      <w:r>
        <w:rPr/>
        <w:drawing>
          <wp:inline distT="0" distB="0" distL="0" distR="0">
            <wp:extent cx="4800600" cy="2936875"/>
            <wp:effectExtent l="0" t="0" r="0" b="0"/>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7"/>
                    <a:stretch>
                      <a:fillRect/>
                    </a:stretch>
                  </pic:blipFill>
                  <pic:spPr bwMode="auto">
                    <a:xfrm>
                      <a:off x="0" y="0"/>
                      <a:ext cx="4800600" cy="2936875"/>
                    </a:xfrm>
                    <a:prstGeom prst="rect">
                      <a:avLst/>
                    </a:prstGeom>
                    <a:noFill/>
                  </pic:spPr>
                </pic:pic>
              </a:graphicData>
            </a:graphic>
          </wp:inline>
        </w:drawing>
      </w:r>
    </w:p>
    <w:p>
      <w:pPr>
        <w:pStyle w:val="ImageCaption"/>
        <w:rPr/>
      </w:pPr>
      <w:r>
        <w:rPr/>
        <w:t>Gráfico 6. Dimensões de sustentabilidade identificadas no núcleo temático vigente</w:t>
      </w:r>
      <w:bookmarkEnd w:id="17"/>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p>
      <w:pPr>
        <w:pStyle w:val="BodyText"/>
        <w:rPr/>
      </w:pPr>
      <w:r>
        <w:rPr/>
        <w:t>Y &gt;p2.1cm &gt;p2.1cm</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6"/>
    </w:p>
    <w:p>
      <w:pPr>
        <w:pStyle w:val="Heading2"/>
        <w:rPr/>
      </w:pPr>
      <w:bookmarkStart w:id="18"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bookmarkStart w:id="19" w:name="fig%3Ametodos"/>
      <w:r>
        <w:rPr/>
        <w:drawing>
          <wp:inline distT="0" distB="0" distL="0" distR="0">
            <wp:extent cx="5067300" cy="4617085"/>
            <wp:effectExtent l="0" t="0" r="0" b="0"/>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8"/>
                    <a:stretch>
                      <a:fillRect/>
                    </a:stretch>
                  </pic:blipFill>
                  <pic:spPr bwMode="auto">
                    <a:xfrm>
                      <a:off x="0" y="0"/>
                      <a:ext cx="5067300" cy="4617085"/>
                    </a:xfrm>
                    <a:prstGeom prst="rect">
                      <a:avLst/>
                    </a:prstGeom>
                    <a:noFill/>
                  </pic:spPr>
                </pic:pic>
              </a:graphicData>
            </a:graphic>
          </wp:inline>
        </w:drawing>
      </w:r>
    </w:p>
    <w:p>
      <w:pPr>
        <w:pStyle w:val="ImageCaption"/>
        <w:rPr/>
      </w:pPr>
      <w:r>
        <w:rPr/>
        <w:t>Gráfico 7. Abordagens e métodos de apoio à decisão identificados no núcleo temático vigente</w:t>
      </w:r>
      <w:bookmarkEnd w:id="19"/>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rPr>
            <m:lit/>
            <m:nor/>
          </m:rP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18"/>
    </w:p>
    <w:p>
      <w:pPr>
        <w:pStyle w:val="Heading2"/>
        <w:rPr/>
      </w:pPr>
      <w:bookmarkStart w:id="20"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p>
      <w:pPr>
        <w:pStyle w:val="BodyText"/>
        <w:rPr/>
      </w:pPr>
      <w:r>
        <w:rPr/>
        <w:t>Y &gt;p2.1cm &gt;p2.1cm</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0"/>
    </w:p>
    <w:p>
      <w:pPr>
        <w:pStyle w:val="Heading2"/>
        <w:rPr/>
      </w:pPr>
      <w:bookmarkStart w:id="21"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bookmarkStart w:id="22" w:name="fig%3Aheatmap"/>
      <w:r>
        <w:rPr/>
        <w:drawing>
          <wp:inline distT="0" distB="0" distL="0" distR="0">
            <wp:extent cx="5227320" cy="3584575"/>
            <wp:effectExtent l="0" t="0" r="0" b="0"/>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9"/>
                    <a:stretch>
                      <a:fillRect/>
                    </a:stretch>
                  </pic:blipFill>
                  <pic:spPr bwMode="auto">
                    <a:xfrm>
                      <a:off x="0" y="0"/>
                      <a:ext cx="5227320" cy="3584575"/>
                    </a:xfrm>
                    <a:prstGeom prst="rect">
                      <a:avLst/>
                    </a:prstGeom>
                    <a:noFill/>
                  </pic:spPr>
                </pic:pic>
              </a:graphicData>
            </a:graphic>
          </wp:inline>
        </w:drawing>
      </w:r>
    </w:p>
    <w:p>
      <w:pPr>
        <w:pStyle w:val="ImageCaption"/>
        <w:rPr/>
      </w:pPr>
      <w:r>
        <w:rPr/>
        <w:t>Gráfico 8. Coocorrência entre critérios de priorização e instrumentos de apoio à decisão</w:t>
      </w:r>
      <w:bookmarkEnd w:id="22"/>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bookmarkStart w:id="23" w:name="fig%3Amatrizanalitica"/>
      <w:r>
        <w:rPr/>
        <w:drawing>
          <wp:inline distT="0" distB="0" distL="0" distR="0">
            <wp:extent cx="5227320" cy="2787650"/>
            <wp:effectExtent l="0" t="0" r="0" b="0"/>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0"/>
                    <a:stretch>
                      <a:fillRect/>
                    </a:stretch>
                  </pic:blipFill>
                  <pic:spPr bwMode="auto">
                    <a:xfrm>
                      <a:off x="0" y="0"/>
                      <a:ext cx="5227320" cy="2787650"/>
                    </a:xfrm>
                    <a:prstGeom prst="rect">
                      <a:avLst/>
                    </a:prstGeom>
                    <a:noFill/>
                  </pic:spPr>
                </pic:pic>
              </a:graphicData>
            </a:graphic>
          </wp:inline>
        </w:drawing>
      </w:r>
    </w:p>
    <w:p>
      <w:pPr>
        <w:pStyle w:val="ImageCaption"/>
        <w:rPr/>
      </w:pPr>
      <w:r>
        <w:rPr/>
        <w:t>Gráfico 9. Matriz de coocorrência entre dimensões de sustentabilidade e instrumentos de apoio à decisão</w:t>
      </w:r>
      <w:bookmarkEnd w:id="23"/>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p>
      <w:pPr>
        <w:pStyle w:val="BodyText"/>
        <w:rPr/>
      </w:pPr>
      <w:r>
        <w:rPr/>
        <w:t>&gt;p2.4cm &gt;p2.7cm Y</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blHeader w:val="true"/>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Sutrisna (2018).</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TableCaption"/>
        <w:keepNext w:val="true"/>
        <w:rPr/>
      </w:pPr>
      <w:r>
        <w:rPr/>
        <w:t>Tabela 11. Proposição autoral de especificação operacional dos indicadores</w:t>
      </w:r>
    </w:p>
    <w:p>
      <w:pPr>
        <w:pStyle w:val="BodyText"/>
        <w:rPr/>
      </w:pPr>
      <w:r>
        <w:rPr/>
        <w:t>&gt;p2.15cm Y &gt;p2.3cm &gt;p1.55cm &gt;p1.7cm</w:t>
      </w:r>
    </w:p>
    <w:tbl>
      <w:tblPr>
        <w:tblW w:w="9360" w:type="dxa"/>
        <w:jc w:val="start"/>
        <w:tblInd w:w="103"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blHeader w:val="true"/>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ImageCaption"/>
        <w:rPr/>
      </w:pPr>
      <w:bookmarkStart w:id="24" w:name="fig%3Afluxoprotocolo"/>
      <w:r>
        <w:rPr/>
        <w:t>Fluxo candidato para validação e futura parametrização multicritério</w:t>
      </w:r>
      <w:bookmarkEnd w:id="24"/>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9"/>
      <w:bookmarkEnd w:id="21"/>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Heading1"/>
        <w:rPr/>
      </w:pPr>
      <w:bookmarkStart w:id="26" w:name="refs"/>
      <w:bookmarkStart w:id="27" w:name="ref-aldairi_lean6sbm_2017"/>
      <w:r>
        <w:rPr/>
        <w:t>Referências</w:t>
      </w:r>
    </w:p>
    <w:p>
      <w:pPr>
        <w:pStyle w:val="Bibliography"/>
        <w:rPr/>
      </w:pPr>
      <w:r>
        <w:rPr/>
        <w:t xml:space="preserve">ALDAIRI, Jasim; KHAN, M. K.; MUNIVE-HERNANDEZ, J. Eduardo. </w:t>
      </w:r>
      <w:hyperlink r:id="rId11">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2">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3">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4">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5">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6">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7">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18">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19">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0">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1">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2">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3">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4">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5">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6">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7">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28">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29">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0">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1">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2">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3">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4">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5">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6">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7">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38">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39">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0">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1">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2">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3">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4">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5">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6">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7">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48">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49">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0">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Times New Roman" w:hAnsi="Times New Roman" w:eastAsia="Times New Roman"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Times New Roman" w:hAnsi="Times New Roman" w:eastAsia="Times New Roman"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Times New Roman" w:hAnsi="Times New Roman" w:eastAsia="Times New Roman"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Times New Roman" w:hAnsi="Times New Roman" w:eastAsia="Times New Roman"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Times New Roman" w:hAnsi="Times New Roman" w:eastAsia="Times New Roman"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
    <w:name w:val="Caracteres de nota de rodapé"/>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tulo">
    <w:name w:val="Título"/>
    <w:basedOn w:val="Normal"/>
    <w:next w:val="BodyText"/>
    <w:qFormat/>
    <w:pPr>
      <w:keepNext w:val="true"/>
      <w:spacing w:before="240" w:after="120"/>
    </w:pPr>
    <w:rPr>
      <w:rFonts w:ascii="Times New Roman" w:hAnsi="Times New Roman" w:eastAsia="Times New Roman"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Times New Roman" w:hAnsi="Times New Roman" w:eastAsia="Times New Roman"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a" w:customStyle="1">
    <w:name w:val="Figura"/>
    <w:basedOn w:val="Normal"/>
    <w:qFormat/>
    <w:pPr/>
    <w:rPr/>
  </w:style>
  <w:style w:type="paragraph" w:styleId="CaptionedFigure" w:customStyle="1">
    <w:name w:val="Captioned Figure"/>
    <w:basedOn w:val="Figura"/>
    <w:qFormat/>
    <w:pPr>
      <w:keepNext w:val="true"/>
    </w:pPr>
    <w:rPr/>
  </w:style>
  <w:style w:type="paragraph" w:styleId="IndexHeading">
    <w:name w:val="index heading"/>
    <w:basedOn w:val="Ttulo"/>
    <w:pPr/>
    <w:rPr/>
  </w:style>
  <w:style w:type="paragraph" w:styleId="TOCHeading">
    <w:name w:val="TOC Heading"/>
    <w:basedOn w:val="Heading1"/>
    <w:next w:val="BodyText"/>
    <w:uiPriority w:val="39"/>
    <w:unhideWhenUsed/>
    <w:qFormat/>
    <w:pPr>
      <w:spacing w:lineRule="auto" w:line="259" w:before="240" w:after="8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doi.org/10.1108/IJLSS-09-2015-0035" TargetMode="External"/><Relationship Id="rId12" Type="http://schemas.openxmlformats.org/officeDocument/2006/relationships/hyperlink" Target="https://doi.org/10.3390/su14169955" TargetMode="External"/><Relationship Id="rId13" Type="http://schemas.openxmlformats.org/officeDocument/2006/relationships/hyperlink" Target="https://doi.org/10.3389/frsus.2026.1751337" TargetMode="External"/><Relationship Id="rId14" Type="http://schemas.openxmlformats.org/officeDocument/2006/relationships/hyperlink" Target="https://doi.org/10.21315/jcdc.2025.30.2.6" TargetMode="External"/><Relationship Id="rId15" Type="http://schemas.openxmlformats.org/officeDocument/2006/relationships/hyperlink" Target="https://doi.org/10.18607/ES201532557" TargetMode="External"/><Relationship Id="rId16" Type="http://schemas.openxmlformats.org/officeDocument/2006/relationships/hyperlink" Target="https://doi.org/10.18820/24150487/as24i2.4" TargetMode="External"/><Relationship Id="rId17" Type="http://schemas.openxmlformats.org/officeDocument/2006/relationships/hyperlink" Target="https://doi.org/10.3895/gi.v16n3.8968" TargetMode="External"/><Relationship Id="rId18" Type="http://schemas.openxmlformats.org/officeDocument/2006/relationships/hyperlink" Target="https://doi.org/10.1108/SS-02-2016-0007" TargetMode="External"/><Relationship Id="rId19" Type="http://schemas.openxmlformats.org/officeDocument/2006/relationships/hyperlink" Target="https://doi.org/10.1108/F-09-2018-0107" TargetMode="External"/><Relationship Id="rId20" Type="http://schemas.openxmlformats.org/officeDocument/2006/relationships/hyperlink" Target="https://www.crossref.org/documentation/retrieve-metadata/rest-api/" TargetMode="External"/><Relationship Id="rId21" Type="http://schemas.openxmlformats.org/officeDocument/2006/relationships/hyperlink" Target="https://doi.org/10.3390/su172210313" TargetMode="External"/><Relationship Id="rId22" Type="http://schemas.openxmlformats.org/officeDocument/2006/relationships/hyperlink" Target="https://doi.org/10.36680/j.itcon.2021.005" TargetMode="External"/><Relationship Id="rId23" Type="http://schemas.openxmlformats.org/officeDocument/2006/relationships/hyperlink" Target="https://doi.org/10.1016/j.jbusres.2021.04.070" TargetMode="External"/><Relationship Id="rId24" Type="http://schemas.openxmlformats.org/officeDocument/2006/relationships/hyperlink" Target="https://doi.org/10.1108/SASBE-07-2023-0170" TargetMode="External"/><Relationship Id="rId25" Type="http://schemas.openxmlformats.org/officeDocument/2006/relationships/hyperlink" Target="https://doi.org/10.1080/15732479.2019.1652657" TargetMode="External"/><Relationship Id="rId26" Type="http://schemas.openxmlformats.org/officeDocument/2006/relationships/hyperlink" Target="https://doi.org/10.1051/e3sconf/202342901002" TargetMode="External"/><Relationship Id="rId27" Type="http://schemas.openxmlformats.org/officeDocument/2006/relationships/hyperlink" Target="https://doi.org/10.3758/s13428-026-02961-x" TargetMode="External"/><Relationship Id="rId28" Type="http://schemas.openxmlformats.org/officeDocument/2006/relationships/hyperlink" Target="https://doi.org/10.1093/database/bat086" TargetMode="External"/><Relationship Id="rId29" Type="http://schemas.openxmlformats.org/officeDocument/2006/relationships/hyperlink" Target="https://doi.org/10.3130/jaabe.17.307" TargetMode="External"/><Relationship Id="rId30" Type="http://schemas.openxmlformats.org/officeDocument/2006/relationships/hyperlink" Target="https://doi.org/10.47179/abcustos.v19i1.719" TargetMode="External"/><Relationship Id="rId31" Type="http://schemas.openxmlformats.org/officeDocument/2006/relationships/hyperlink" Target="https://doi.org/10.1111/itor.70022" TargetMode="External"/><Relationship Id="rId32" Type="http://schemas.openxmlformats.org/officeDocument/2006/relationships/hyperlink" Target="https://doi.org/10.18830/issn.1679-0944.n34.2023.08" TargetMode="External"/><Relationship Id="rId33" Type="http://schemas.openxmlformats.org/officeDocument/2006/relationships/hyperlink" Target="https://doi.org/10.3390/su17094140" TargetMode="External"/><Relationship Id="rId34" Type="http://schemas.openxmlformats.org/officeDocument/2006/relationships/hyperlink" Target="https://doi.org/10.1016/j.buildenv.2019.106212" TargetMode="External"/><Relationship Id="rId35" Type="http://schemas.openxmlformats.org/officeDocument/2006/relationships/hyperlink" Target="https://doi.org/10.1061/JCEMD4.COENG-13154" TargetMode="External"/><Relationship Id="rId36" Type="http://schemas.openxmlformats.org/officeDocument/2006/relationships/hyperlink" Target="https://doi.org/10.56065/pdpyke84" TargetMode="External"/><Relationship Id="rId37" Type="http://schemas.openxmlformats.org/officeDocument/2006/relationships/hyperlink" Target="https://doi.org/10.1108/F-07-2014-0060" TargetMode="External"/><Relationship Id="rId38" Type="http://schemas.openxmlformats.org/officeDocument/2006/relationships/hyperlink" Target="https://doi.org/10.3390/su15043174" TargetMode="External"/><Relationship Id="rId39" Type="http://schemas.openxmlformats.org/officeDocument/2006/relationships/hyperlink" Target="https://doi.org/10.3390/su14031705" TargetMode="External"/><Relationship Id="rId40" Type="http://schemas.openxmlformats.org/officeDocument/2006/relationships/hyperlink" Target="https://doi.org/10.2478/otmcj-2023-0005" TargetMode="External"/><Relationship Id="rId41" Type="http://schemas.openxmlformats.org/officeDocument/2006/relationships/hyperlink" Target="https://doi.org/10.3390/su11247181" TargetMode="External"/><Relationship Id="rId42" Type="http://schemas.openxmlformats.org/officeDocument/2006/relationships/hyperlink" Target="https://doi.org/10.1108/IJBPA-07-2025-0169" TargetMode="External"/><Relationship Id="rId43" Type="http://schemas.openxmlformats.org/officeDocument/2006/relationships/hyperlink" Target="https://doi.org/10.1186/2046-4053-4-6" TargetMode="External"/><Relationship Id="rId44" Type="http://schemas.openxmlformats.org/officeDocument/2006/relationships/hyperlink" Target="https://doi.org/10.1016/j.jbusres.2019.07.039" TargetMode="External"/><Relationship Id="rId45" Type="http://schemas.openxmlformats.org/officeDocument/2006/relationships/hyperlink" Target="https://doi.org/10.3390/en5114497" TargetMode="External"/><Relationship Id="rId46" Type="http://schemas.openxmlformats.org/officeDocument/2006/relationships/hyperlink" Target="https://doi.org/10.1108/F-06-2012-0042" TargetMode="External"/><Relationship Id="rId47" Type="http://schemas.openxmlformats.org/officeDocument/2006/relationships/hyperlink" Target="https://doi.org/10.1108/F-03-2016-0028" TargetMode="External"/><Relationship Id="rId48" Type="http://schemas.openxmlformats.org/officeDocument/2006/relationships/hyperlink" Target="https://doi.org/10.1111/j.1365-2648.2005.03621.x" TargetMode="External"/><Relationship Id="rId49" Type="http://schemas.openxmlformats.org/officeDocument/2006/relationships/hyperlink" Target="https://doi.org/10.1088/1755-1315/1554/1/012036" TargetMode="External"/><Relationship Id="rId50" Type="http://schemas.openxmlformats.org/officeDocument/2006/relationships/hyperlink" Target="https://doi.org/10.1061/(ASCE)CF.1943-5509.0001176" TargetMode="Externa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LibreOffice/26.2.4.2$Windows_X86_64 LibreOffice_project/0229ac93fcf0d7cbc6376066c6f35021cef002dc</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2026-08-28T11:17:15Z</dcterms:created>
  <dc:creator>Adinailson Guimarães de Oliveira Programa de Pós-Graduação em Biossistemas Universidade Federal do Sul da Bahia (UFSB)</dc:creator>
  <dc:description/>
  <dc:language>pt-BR</dc:language>
  <cp:lastModifiedBy/>
  <dcterms:modified xsi:type="dcterms:W3CDTF">2026-08-28T11:17:15Z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