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1072"/>
        <w:ind w:left="0" w:right="0"/>
      </w:pPr>
    </w:p>
    <w:p>
      <w:pPr>
        <w:autoSpaceDN w:val="0"/>
        <w:autoSpaceDE w:val="0"/>
        <w:widowControl/>
        <w:spacing w:line="414" w:lineRule="exact" w:before="0" w:after="0"/>
        <w:ind w:left="420" w:right="0" w:firstLine="0"/>
        <w:jc w:val="left"/>
      </w:pPr>
      <w:r>
        <w:rPr>
          <w:rFonts w:ascii="LMRoman17" w:hAnsi="LMRoman17" w:eastAsia="LMRoman17"/>
          <w:b w:val="0"/>
          <w:i w:val="0"/>
          <w:color w:val="000000"/>
          <w:sz w:val="41"/>
        </w:rPr>
        <w:t>Manutenção</w:t>
      </w:r>
      <w:r>
        <w:rPr>
          <w:rFonts w:ascii="LMRoman17" w:hAnsi="LMRoman17" w:eastAsia="LMRoman17"/>
          <w:b w:val="0"/>
          <w:i w:val="0"/>
          <w:color w:val="000000"/>
          <w:sz w:val="41"/>
        </w:rPr>
        <w:t>sustentável</w:t>
      </w:r>
      <w:r>
        <w:rPr>
          <w:rFonts w:ascii="LMRoman17" w:hAnsi="LMRoman17" w:eastAsia="LMRoman17"/>
          <w:b w:val="0"/>
          <w:i w:val="0"/>
          <w:color w:val="000000"/>
          <w:sz w:val="41"/>
        </w:rPr>
        <w:t>em</w:t>
      </w:r>
      <w:r>
        <w:rPr>
          <w:rFonts w:ascii="LMRoman17" w:hAnsi="LMRoman17" w:eastAsia="LMRoman17"/>
          <w:b w:val="0"/>
          <w:i w:val="0"/>
          <w:color w:val="000000"/>
          <w:sz w:val="41"/>
        </w:rPr>
        <w:t>edificações</w:t>
      </w:r>
      <w:r>
        <w:rPr>
          <w:rFonts w:ascii="LMRoman17" w:hAnsi="LMRoman17" w:eastAsia="LMRoman17"/>
          <w:b w:val="0"/>
          <w:i w:val="0"/>
          <w:color w:val="000000"/>
          <w:sz w:val="41"/>
        </w:rPr>
        <w:t>universitárias</w:t>
      </w:r>
    </w:p>
    <w:p>
      <w:pPr>
        <w:autoSpaceDN w:val="0"/>
        <w:autoSpaceDE w:val="0"/>
        <w:widowControl/>
        <w:spacing w:line="410" w:lineRule="exact" w:before="88" w:after="0"/>
        <w:ind w:left="262" w:right="0" w:firstLine="0"/>
        <w:jc w:val="left"/>
      </w:pPr>
      <w:r>
        <w:rPr>
          <w:rFonts w:ascii="LMRoman17" w:hAnsi="LMRoman17" w:eastAsia="LMRoman17"/>
          <w:b w:val="0"/>
          <w:i w:val="0"/>
          <w:color w:val="000000"/>
          <w:sz w:val="41"/>
        </w:rPr>
        <w:t>públicas:</w:t>
      </w:r>
      <w:r>
        <w:rPr>
          <w:rFonts w:ascii="LMRoman17" w:hAnsi="LMRoman17" w:eastAsia="LMRoman17"/>
          <w:b w:val="0"/>
          <w:i w:val="0"/>
          <w:color w:val="000000"/>
          <w:sz w:val="41"/>
        </w:rPr>
        <w:t>revisão</w:t>
      </w:r>
      <w:r>
        <w:rPr>
          <w:rFonts w:ascii="LMRoman17" w:hAnsi="LMRoman17" w:eastAsia="LMRoman17"/>
          <w:b w:val="0"/>
          <w:i w:val="0"/>
          <w:color w:val="000000"/>
          <w:sz w:val="41"/>
        </w:rPr>
        <w:t>bibliométrica</w:t>
      </w:r>
      <w:r>
        <w:rPr>
          <w:rFonts w:ascii="LMRoman17" w:hAnsi="LMRoman17" w:eastAsia="LMRoman17"/>
          <w:b w:val="0"/>
          <w:i w:val="0"/>
          <w:color w:val="000000"/>
          <w:sz w:val="41"/>
        </w:rPr>
        <w:t>e</w:t>
      </w:r>
      <w:r>
        <w:rPr>
          <w:rFonts w:ascii="LMRoman17" w:hAnsi="LMRoman17" w:eastAsia="LMRoman17"/>
          <w:b w:val="0"/>
          <w:i w:val="0"/>
          <w:color w:val="000000"/>
          <w:sz w:val="41"/>
        </w:rPr>
        <w:t>protocolo</w:t>
      </w:r>
      <w:r>
        <w:rPr>
          <w:rFonts w:ascii="LMRoman17" w:hAnsi="LMRoman17" w:eastAsia="LMRoman17"/>
          <w:b w:val="0"/>
          <w:i w:val="0"/>
          <w:color w:val="000000"/>
          <w:sz w:val="41"/>
        </w:rPr>
        <w:t>multicritério</w:t>
      </w:r>
    </w:p>
    <w:p>
      <w:pPr>
        <w:autoSpaceDN w:val="0"/>
        <w:autoSpaceDE w:val="0"/>
        <w:widowControl/>
        <w:spacing w:line="358" w:lineRule="exact" w:before="324" w:after="0"/>
        <w:ind w:left="1872" w:right="1728" w:firstLine="0"/>
        <w:jc w:val="center"/>
      </w:pPr>
      <w:r>
        <w:rPr>
          <w:w w:val="98.93931027116447"/>
          <w:rFonts w:ascii="LMRoman12" w:hAnsi="LMRoman12" w:eastAsia="LMRoman12"/>
          <w:b w:val="0"/>
          <w:i w:val="0"/>
          <w:color w:val="000000"/>
          <w:sz w:val="29"/>
        </w:rPr>
        <w:t>Adinailson</w:t>
      </w:r>
      <w:r>
        <w:rPr>
          <w:w w:val="98.93931027116447"/>
          <w:rFonts w:ascii="LMRoman12" w:hAnsi="LMRoman12" w:eastAsia="LMRoman12"/>
          <w:b w:val="0"/>
          <w:i w:val="0"/>
          <w:color w:val="000000"/>
          <w:sz w:val="29"/>
        </w:rPr>
        <w:t>Guimarães</w:t>
      </w:r>
      <w:r>
        <w:rPr>
          <w:w w:val="98.93931027116447"/>
          <w:rFonts w:ascii="LMRoman12" w:hAnsi="LMRoman12" w:eastAsia="LMRoman12"/>
          <w:b w:val="0"/>
          <w:i w:val="0"/>
          <w:color w:val="000000"/>
          <w:sz w:val="29"/>
        </w:rPr>
        <w:t>de</w:t>
      </w:r>
      <w:r>
        <w:rPr>
          <w:w w:val="98.93931027116447"/>
          <w:rFonts w:ascii="LMRoman12" w:hAnsi="LMRoman12" w:eastAsia="LMRoman12"/>
          <w:b w:val="0"/>
          <w:i w:val="0"/>
          <w:color w:val="000000"/>
          <w:sz w:val="29"/>
        </w:rPr>
        <w:t xml:space="preserve">Oliveira </w:t>
      </w:r>
      <w:r>
        <w:br/>
      </w:r>
      <w:r>
        <w:rPr>
          <w:w w:val="98.93931027116447"/>
          <w:rFonts w:ascii="LMRoman12" w:hAnsi="LMRoman12" w:eastAsia="LMRoman12"/>
          <w:b w:val="0"/>
          <w:i w:val="0"/>
          <w:color w:val="000000"/>
          <w:sz w:val="29"/>
        </w:rPr>
        <w:t>Programa</w:t>
      </w:r>
      <w:r>
        <w:rPr>
          <w:w w:val="98.93931027116447"/>
          <w:rFonts w:ascii="LMRoman12" w:hAnsi="LMRoman12" w:eastAsia="LMRoman12"/>
          <w:b w:val="0"/>
          <w:i w:val="0"/>
          <w:color w:val="000000"/>
          <w:sz w:val="29"/>
        </w:rPr>
        <w:t>de</w:t>
      </w:r>
      <w:r>
        <w:rPr>
          <w:w w:val="98.93931027116447"/>
          <w:rFonts w:ascii="LMRoman12" w:hAnsi="LMRoman12" w:eastAsia="LMRoman12"/>
          <w:b w:val="0"/>
          <w:i w:val="0"/>
          <w:color w:val="000000"/>
          <w:sz w:val="29"/>
        </w:rPr>
        <w:t>Pós-Graduação</w:t>
      </w:r>
      <w:r>
        <w:rPr>
          <w:w w:val="98.93931027116447"/>
          <w:rFonts w:ascii="LMRoman12" w:hAnsi="LMRoman12" w:eastAsia="LMRoman12"/>
          <w:b w:val="0"/>
          <w:i w:val="0"/>
          <w:color w:val="000000"/>
          <w:sz w:val="29"/>
        </w:rPr>
        <w:t>em</w:t>
      </w:r>
      <w:r>
        <w:rPr>
          <w:w w:val="98.93931027116447"/>
          <w:rFonts w:ascii="LMRoman12" w:hAnsi="LMRoman12" w:eastAsia="LMRoman12"/>
          <w:b w:val="0"/>
          <w:i w:val="0"/>
          <w:color w:val="000000"/>
          <w:sz w:val="29"/>
        </w:rPr>
        <w:t xml:space="preserve">Biossistemas </w:t>
      </w:r>
      <w:r>
        <w:rPr>
          <w:w w:val="98.93931027116447"/>
          <w:rFonts w:ascii="LMRoman12" w:hAnsi="LMRoman12" w:eastAsia="LMRoman12"/>
          <w:b w:val="0"/>
          <w:i w:val="0"/>
          <w:color w:val="000000"/>
          <w:sz w:val="29"/>
        </w:rPr>
        <w:t>Universidade</w:t>
      </w:r>
      <w:r>
        <w:rPr>
          <w:w w:val="98.93931027116447"/>
          <w:rFonts w:ascii="LMRoman12" w:hAnsi="LMRoman12" w:eastAsia="LMRoman12"/>
          <w:b w:val="0"/>
          <w:i w:val="0"/>
          <w:color w:val="000000"/>
          <w:sz w:val="29"/>
        </w:rPr>
        <w:t>Federal</w:t>
      </w:r>
      <w:r>
        <w:rPr>
          <w:w w:val="98.93931027116447"/>
          <w:rFonts w:ascii="LMRoman12" w:hAnsi="LMRoman12" w:eastAsia="LMRoman12"/>
          <w:b w:val="0"/>
          <w:i w:val="0"/>
          <w:color w:val="000000"/>
          <w:sz w:val="29"/>
        </w:rPr>
        <w:t>do</w:t>
      </w:r>
      <w:r>
        <w:rPr>
          <w:w w:val="98.93931027116447"/>
          <w:rFonts w:ascii="LMRoman12" w:hAnsi="LMRoman12" w:eastAsia="LMRoman12"/>
          <w:b w:val="0"/>
          <w:i w:val="0"/>
          <w:color w:val="000000"/>
          <w:sz w:val="29"/>
        </w:rPr>
        <w:t>Sul</w:t>
      </w:r>
      <w:r>
        <w:rPr>
          <w:w w:val="98.93931027116447"/>
          <w:rFonts w:ascii="LMRoman12" w:hAnsi="LMRoman12" w:eastAsia="LMRoman12"/>
          <w:b w:val="0"/>
          <w:i w:val="0"/>
          <w:color w:val="000000"/>
          <w:sz w:val="29"/>
        </w:rPr>
        <w:t>da</w:t>
      </w:r>
      <w:r>
        <w:rPr>
          <w:w w:val="98.93931027116447"/>
          <w:rFonts w:ascii="LMRoman12" w:hAnsi="LMRoman12" w:eastAsia="LMRoman12"/>
          <w:b w:val="0"/>
          <w:i w:val="0"/>
          <w:color w:val="000000"/>
          <w:sz w:val="29"/>
        </w:rPr>
        <w:t>Bahia</w:t>
      </w:r>
      <w:r>
        <w:rPr>
          <w:w w:val="98.93931027116447"/>
          <w:rFonts w:ascii="LMRoman12" w:hAnsi="LMRoman12" w:eastAsia="LMRoman12"/>
          <w:b w:val="0"/>
          <w:i w:val="0"/>
          <w:color w:val="000000"/>
          <w:sz w:val="29"/>
        </w:rPr>
        <w:t>(UFSB)</w:t>
      </w:r>
    </w:p>
    <w:p>
      <w:pPr>
        <w:autoSpaceDN w:val="0"/>
        <w:autoSpaceDE w:val="0"/>
        <w:widowControl/>
        <w:spacing w:line="238" w:lineRule="exact" w:before="628" w:after="0"/>
        <w:ind w:left="0" w:right="4132" w:firstLine="0"/>
        <w:jc w:val="right"/>
      </w:pPr>
      <w:r>
        <w:rPr>
          <w:rFonts w:ascii="LMRoman12" w:hAnsi="LMRoman12" w:eastAsia="LMRoman12"/>
          <w:b/>
          <w:i w:val="0"/>
          <w:color w:val="000000"/>
          <w:sz w:val="24"/>
        </w:rPr>
        <w:t>Resumo</w:t>
      </w:r>
    </w:p>
    <w:p>
      <w:pPr>
        <w:autoSpaceDN w:val="0"/>
        <w:autoSpaceDE w:val="0"/>
        <w:widowControl/>
        <w:spacing w:line="288" w:lineRule="exact" w:before="234" w:after="0"/>
        <w:ind w:left="25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Este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artigo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analisa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padrões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bibliométricos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evidências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temáticas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manutenção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predial sustentável podem fundamentar um protocolo multicritério adaptável às edificações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públicas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universitárias.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conduzida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revisão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integrativa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sistematizada,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mapea-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mento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bibliométrico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síntese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temática,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nas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bases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Scopus,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Web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Science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Crossref,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entre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2010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2026.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estrutura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campo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examinada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372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registros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maior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aderência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e 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suficiência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documental;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triagem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auditoria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resultaram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104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registros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 xml:space="preserve">síntese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temática.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campo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transita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vocabulário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centrado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eficiência,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desempenho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edificações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associado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BIM,</w:t>
      </w:r>
      <w:r>
        <w:rPr>
          <w:rFonts w:ascii="LMRoman12" w:hAnsi="LMRoman12" w:eastAsia="LMRoman12"/>
          <w:b w:val="0"/>
          <w:i/>
          <w:color w:val="000000"/>
          <w:sz w:val="24"/>
        </w:rPr>
        <w:t>digital</w:t>
      </w:r>
      <w:r>
        <w:rPr>
          <w:rFonts w:ascii="LMRoman12" w:hAnsi="LMRoman12" w:eastAsia="LMRoman12"/>
          <w:b w:val="0"/>
          <w:i/>
          <w:color w:val="000000"/>
          <w:sz w:val="24"/>
        </w:rPr>
        <w:t>twins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carbono,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ciclo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nutenção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preditiva.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núcleo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temático,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destacaram-se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dimensões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técnica-operacional,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institucional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ambiental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critérios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desempenho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operacional,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informação,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custo,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útil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energia.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Métodos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multicritério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formalmente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nomeados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menos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frequentes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estruturas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genéricas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apoio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decisão.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Apenas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apresentaram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lacunas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específicas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instituições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públicas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ensino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superior.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contribuição,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propõe-se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matriz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analítica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conceitual,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informada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síntese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literatura,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convertida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em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protocolo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operacional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candidato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indicadores,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fontes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dados,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periodicidade,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direção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preferência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regras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veto.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Pesos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funções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agregação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derivados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frequências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dependem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posterior.</w:t>
      </w:r>
    </w:p>
    <w:p>
      <w:pPr>
        <w:autoSpaceDN w:val="0"/>
        <w:autoSpaceDE w:val="0"/>
        <w:widowControl/>
        <w:spacing w:line="290" w:lineRule="exact" w:before="112" w:after="0"/>
        <w:ind w:left="260" w:right="0" w:firstLine="0"/>
        <w:jc w:val="left"/>
      </w:pPr>
      <w:r>
        <w:rPr>
          <w:w w:val="98.87664318084717"/>
          <w:rFonts w:ascii="LMRoman12" w:hAnsi="LMRoman12" w:eastAsia="LMRoman12"/>
          <w:b/>
          <w:i w:val="0"/>
          <w:color w:val="000000"/>
          <w:sz w:val="24"/>
        </w:rPr>
        <w:t>Palavras-chave: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manutenção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predial;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sustentabilidade;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métodos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multicritério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 xml:space="preserve">decisão;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gestão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edificações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públicas;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bibliometria.</w:t>
      </w:r>
    </w:p>
    <w:p>
      <w:pPr>
        <w:autoSpaceDN w:val="0"/>
        <w:autoSpaceDE w:val="0"/>
        <w:widowControl/>
        <w:spacing w:line="240" w:lineRule="exact" w:before="510" w:after="0"/>
        <w:ind w:left="0" w:right="4088" w:firstLine="0"/>
        <w:jc w:val="right"/>
      </w:pPr>
      <w:r>
        <w:rPr>
          <w:rFonts w:ascii="LMRoman12" w:hAnsi="LMRoman12" w:eastAsia="LMRoman12"/>
          <w:b/>
          <w:i w:val="0"/>
          <w:color w:val="000000"/>
          <w:sz w:val="24"/>
        </w:rPr>
        <w:t>Abstract</w:t>
      </w:r>
    </w:p>
    <w:p>
      <w:pPr>
        <w:autoSpaceDN w:val="0"/>
        <w:autoSpaceDE w:val="0"/>
        <w:widowControl/>
        <w:spacing w:line="288" w:lineRule="exact" w:before="234" w:after="0"/>
        <w:ind w:left="144" w:right="0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article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examines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bibliometric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patterns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thematic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evidence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sustainable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maintenance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multi-criteria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protocol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adaptable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university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buildings.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systematized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integrative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review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bibliometric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mapping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thematic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synthesis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conducted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Scopus,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Web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Science,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Crossref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2010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2026.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field structure was examined through 372 records with stronger relevance and documentary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sufficiency;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screening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auditing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produced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104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thematic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synthesis.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field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shifting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vocabulary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centered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efficiency,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performance,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green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buildings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toward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BIM,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digital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twins,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carbon,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life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cycle,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predictive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maintenance.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Technical-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operational,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institutional,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environmental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dimensions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were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prominent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thematic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core,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were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operational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performance,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information,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cost,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service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life,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energy.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Formally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named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multi-criteria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methods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were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less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frequent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generic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decision-support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frameworks.</w:t>
      </w:r>
    </w:p>
    <w:p>
      <w:pPr>
        <w:autoSpaceDN w:val="0"/>
        <w:autoSpaceDE w:val="0"/>
        <w:widowControl/>
        <w:spacing w:line="238" w:lineRule="exact" w:before="360" w:after="0"/>
        <w:ind w:left="0" w:right="454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</w:p>
    <w:p>
      <w:pPr>
        <w:sectPr>
          <w:pgSz w:w="11906" w:h="16838"/>
          <w:pgMar w:top="1292" w:right="1068" w:bottom="24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6"/>
        <w:ind w:left="0" w:right="0"/>
      </w:pPr>
    </w:p>
    <w:p>
      <w:pPr>
        <w:autoSpaceDN w:val="0"/>
        <w:tabs>
          <w:tab w:pos="8922" w:val="left"/>
        </w:tabs>
        <w:autoSpaceDE w:val="0"/>
        <w:widowControl/>
        <w:spacing w:line="280" w:lineRule="exact" w:before="0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higher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education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institutions.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study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contributes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conceptual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analytical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matrix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informed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literature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synthesis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translated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into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candidate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operational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protocol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indicators,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data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sources,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 xml:space="preserve">periodicity,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rules.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Weights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aggregation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derived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frequencies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require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subsequent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validation.</w:t>
      </w:r>
    </w:p>
    <w:p>
      <w:pPr>
        <w:autoSpaceDN w:val="0"/>
        <w:autoSpaceDE w:val="0"/>
        <w:widowControl/>
        <w:spacing w:line="288" w:lineRule="exact" w:before="106" w:after="0"/>
        <w:ind w:left="26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Keywords: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maintenance;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sustainability;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multi-criteria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decision-making;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public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management;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bibliometrics.</w:t>
      </w:r>
    </w:p>
    <w:p>
      <w:pPr>
        <w:autoSpaceDN w:val="0"/>
        <w:tabs>
          <w:tab w:pos="842" w:val="left"/>
        </w:tabs>
        <w:autoSpaceDE w:val="0"/>
        <w:widowControl/>
        <w:spacing w:line="344" w:lineRule="exact" w:before="680" w:after="0"/>
        <w:ind w:left="260" w:right="0" w:firstLine="0"/>
        <w:jc w:val="left"/>
      </w:pP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 xml:space="preserve">1 </w:t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Introdução</w:t>
      </w:r>
    </w:p>
    <w:p>
      <w:pPr>
        <w:autoSpaceDN w:val="0"/>
        <w:autoSpaceDE w:val="0"/>
        <w:widowControl/>
        <w:spacing w:line="288" w:lineRule="exact" w:before="214" w:after="0"/>
        <w:ind w:left="260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gestão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edificações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públicas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universitárias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enfrenta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tensão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decisória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recorrente: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intervenções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visíveis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urgentes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competem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recursos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ações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preventivas,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ambientais,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sociais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institucionais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cujos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benefícios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distribuem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longo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ciclo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vida.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ausência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arquitetura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transparente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critérios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favorecer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decisões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reativas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dificultar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justificativa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técnica,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orçamentária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pública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prioridade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atribuída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ativo.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manutenção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condiciona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desempenho,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segurança,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durabilidade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continuidade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serviços,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NBR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5674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estabelece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requisitos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planejamento,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controle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avaliação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sistema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manutenção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(ASSOCIAÇÃO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BRASILEIRA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NORMAS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TÉCNICAS, 2012).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No âmbito público brasileiro, essa responsabilidade também se vincula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deveres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legais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administrativos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gestor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(ARAÚJO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NETO,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2015).</w:t>
      </w:r>
    </w:p>
    <w:p>
      <w:pPr>
        <w:autoSpaceDN w:val="0"/>
        <w:tabs>
          <w:tab w:pos="260" w:val="left"/>
          <w:tab w:pos="612" w:val="left"/>
          <w:tab w:pos="4134" w:val="left"/>
        </w:tabs>
        <w:autoSpaceDE w:val="0"/>
        <w:widowControl/>
        <w:spacing w:line="288" w:lineRule="exact" w:before="2" w:after="0"/>
        <w:ind w:left="234" w:right="0" w:firstLine="0"/>
        <w:jc w:val="left"/>
      </w:pP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Restrições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orçamentárias,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envelhecimento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infraestrutura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acúmulo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demandas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tornam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insuficiente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ordenação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custo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urgência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isolados.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análise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custos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universidade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federal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demonstra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utilidade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previsão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 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planejamento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orçamentário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(MARTINS;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ESPEJO,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2024),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enquanto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registros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ordens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serviço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permitem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reconhecer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padrões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demanda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apoiar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planejamento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intervenções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(MORAIS;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PAULA;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REIS,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2023).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Esses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dados,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porém,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precisam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combinados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condição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física,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risco,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energia,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impacto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ambiental,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experiência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usuários,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conformidade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capacidade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institucional.</w:t>
      </w:r>
    </w:p>
    <w:p>
      <w:pPr>
        <w:autoSpaceDN w:val="0"/>
        <w:autoSpaceDE w:val="0"/>
        <w:widowControl/>
        <w:spacing w:line="288" w:lineRule="exact" w:before="0" w:after="0"/>
        <w:ind w:left="242" w:right="0" w:firstLine="352"/>
        <w:jc w:val="left"/>
      </w:pP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w w:val="98.97697766621908"/>
          <w:rFonts w:ascii="LMRoman12" w:hAnsi="LMRoman12" w:eastAsia="LMRoman12"/>
          <w:b w:val="0"/>
          <w:i/>
          <w:color w:val="000000"/>
          <w:sz w:val="24"/>
        </w:rPr>
        <w:t>facility</w:t>
      </w:r>
      <w:r>
        <w:rPr>
          <w:w w:val="98.97697766621908"/>
          <w:rFonts w:ascii="LMRoman12" w:hAnsi="LMRoman12" w:eastAsia="LMRoman12"/>
          <w:b w:val="0"/>
          <w:i/>
          <w:color w:val="000000"/>
          <w:sz w:val="24"/>
        </w:rPr>
        <w:t>management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sustentável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articula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desempenho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ambiental,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econômico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 xml:space="preserve">social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planejamento,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gestão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ativos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construídos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(NIELSEN;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SARASOJA;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GALAMBA, 2016; OPOKU; LEE, 2022; OKORO, 2023).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Os Objetivos de Desenvolvimento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Sustentável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oferecem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públicas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infraestrutura,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cidades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responsável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recursos,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enquanto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abordagem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ambiental,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social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governança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(ESG,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inglês 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environmental,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social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governance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organiza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indicadores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aplicáveis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aos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ativos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serviços 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prediais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(OKORO,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2023;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RAMANTSWANA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2026).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Métodos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apoio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 xml:space="preserve">multicritério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podem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explicitar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compensações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objetivos,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critérios,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indicadores,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pesos,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regras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compensatórias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incertezas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sejam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documentados.</w:t>
      </w:r>
    </w:p>
    <w:p>
      <w:pPr>
        <w:autoSpaceDN w:val="0"/>
        <w:autoSpaceDE w:val="0"/>
        <w:widowControl/>
        <w:spacing w:line="288" w:lineRule="exact" w:before="0" w:after="0"/>
        <w:ind w:left="260" w:right="52" w:firstLine="35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objetivo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geral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é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analisar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estrutura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bibliométrica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temática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literatura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partir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dela,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propor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arquitetura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um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protocolo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multicritério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adaptável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à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priorização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intervenções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edificações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públicas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universitárias.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pergunta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central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(RQ0)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é: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os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padrões bibliométricos e a síntese temática da literatura podem fundamentar a arquitetura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critérios,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indicadores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regras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decisão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protocolo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multicritério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adaptável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às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edificações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públicas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universitárias?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análise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responde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cinco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questões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específicas: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quais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dimensões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sustentabilidade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identificadas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(RQ1);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quais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critérios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priorização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são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identificados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(RQ2);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quais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métodos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apoio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decisão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identificados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(RQ3);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quais 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contextos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edificação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essas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abordagens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aparecem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(RQ4);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quais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lacunas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são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 xml:space="preserve">registradas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instituições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públicas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ensino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superior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(RQ5).</w:t>
      </w:r>
    </w:p>
    <w:p>
      <w:pPr>
        <w:autoSpaceDN w:val="0"/>
        <w:autoSpaceDE w:val="0"/>
        <w:widowControl/>
        <w:spacing w:line="238" w:lineRule="exact" w:before="360" w:after="0"/>
        <w:ind w:left="0" w:right="4532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</w:t>
      </w:r>
    </w:p>
    <w:p>
      <w:pPr>
        <w:sectPr>
          <w:pgSz w:w="11906" w:h="16838"/>
          <w:pgMar w:top="876" w:right="1080" w:bottom="24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16"/>
        <w:ind w:left="0" w:right="0"/>
      </w:pPr>
    </w:p>
    <w:p>
      <w:pPr>
        <w:autoSpaceDN w:val="0"/>
        <w:tabs>
          <w:tab w:pos="842" w:val="left"/>
        </w:tabs>
        <w:autoSpaceDE w:val="0"/>
        <w:widowControl/>
        <w:spacing w:line="344" w:lineRule="exact" w:before="0" w:after="0"/>
        <w:ind w:left="260" w:right="0" w:firstLine="0"/>
        <w:jc w:val="left"/>
      </w:pP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 xml:space="preserve">2 </w:t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Fundamentos</w:t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teóricos</w:t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da</w:t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manutenção</w:t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sustentável</w:t>
      </w:r>
    </w:p>
    <w:p>
      <w:pPr>
        <w:autoSpaceDN w:val="0"/>
        <w:autoSpaceDE w:val="0"/>
        <w:widowControl/>
        <w:spacing w:line="288" w:lineRule="exact" w:before="214" w:after="0"/>
        <w:ind w:left="260" w:right="64" w:hanging="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literatura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analisada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organizada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cinco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correntes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complementares.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Essa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organização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substitui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classificação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empírica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explicita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fundamentos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converter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síntese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arquitetura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decisória.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Tabela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apresenta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núcleo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corrente,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contribuição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protocolo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principal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lacuna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integração.</w:t>
      </w:r>
    </w:p>
    <w:p>
      <w:pPr>
        <w:autoSpaceDN w:val="0"/>
        <w:autoSpaceDE w:val="0"/>
        <w:widowControl/>
        <w:spacing w:line="218" w:lineRule="exact" w:before="294" w:after="232"/>
        <w:ind w:left="1522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Tabela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1.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Correntes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teóricas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que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fundamentam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protocolo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proposto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2349"/>
        <w:gridCol w:w="2349"/>
        <w:gridCol w:w="2349"/>
        <w:gridCol w:w="2349"/>
      </w:tblGrid>
      <w:tr>
        <w:trPr>
          <w:trHeight w:hRule="exact" w:val="312"/>
        </w:trPr>
        <w:tc>
          <w:tcPr>
            <w:tcW w:type="dxa" w:w="1768"/>
            <w:tcBorders>
              <w:top w:sz="7.48799991607666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74" w:after="0"/>
              <w:ind w:left="128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Corrente</w:t>
            </w:r>
          </w:p>
        </w:tc>
        <w:tc>
          <w:tcPr>
            <w:tcW w:type="dxa" w:w="2120"/>
            <w:tcBorders>
              <w:top w:sz="7.48799991607666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74" w:after="0"/>
              <w:ind w:left="13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Núcleo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analítico</w:t>
            </w:r>
          </w:p>
        </w:tc>
        <w:tc>
          <w:tcPr>
            <w:tcW w:type="dxa" w:w="2500"/>
            <w:tcBorders>
              <w:top w:sz="7.48799991607666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74" w:after="0"/>
              <w:ind w:left="12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Contribuição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ao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protocolo</w:t>
            </w:r>
          </w:p>
        </w:tc>
        <w:tc>
          <w:tcPr>
            <w:tcW w:type="dxa" w:w="2702"/>
            <w:tcBorders>
              <w:top w:sz="7.48799991607666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74" w:after="0"/>
              <w:ind w:left="126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Lacuna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integração</w:t>
            </w:r>
          </w:p>
        </w:tc>
      </w:tr>
      <w:tr>
        <w:trPr>
          <w:trHeight w:hRule="exact" w:val="250"/>
        </w:trPr>
        <w:tc>
          <w:tcPr>
            <w:tcW w:type="dxa" w:w="1768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74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Técnica-operacional</w:t>
            </w:r>
          </w:p>
        </w:tc>
        <w:tc>
          <w:tcPr>
            <w:tcW w:type="dxa" w:w="2120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74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Condição,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falha,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desem-</w:t>
            </w:r>
          </w:p>
        </w:tc>
        <w:tc>
          <w:tcPr>
            <w:tcW w:type="dxa" w:w="2500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74" w:after="0"/>
              <w:ind w:left="12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Indicadores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estado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do</w:t>
            </w:r>
          </w:p>
        </w:tc>
        <w:tc>
          <w:tcPr>
            <w:tcW w:type="dxa" w:w="2702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74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Predomínio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aplicações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setori-</w:t>
            </w:r>
          </w:p>
        </w:tc>
      </w:tr>
      <w:tr>
        <w:trPr>
          <w:trHeight w:hRule="exact" w:val="196"/>
        </w:trPr>
        <w:tc>
          <w:tcPr>
            <w:tcW w:type="dxa" w:w="1768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398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Ambiental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ciclo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de</w:t>
            </w:r>
          </w:p>
        </w:tc>
        <w:tc>
          <w:tcPr>
            <w:tcW w:type="dxa" w:w="2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20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penho,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risco,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manutenibi-</w:t>
            </w:r>
          </w:p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2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ativo,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recorrência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falhas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</w:t>
            </w:r>
          </w:p>
        </w:tc>
        <w:tc>
          <w:tcPr>
            <w:tcW w:type="dxa" w:w="270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20" w:after="0"/>
              <w:ind w:left="126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ais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ou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componentes.</w:t>
            </w:r>
          </w:p>
        </w:tc>
      </w:tr>
      <w:tr>
        <w:trPr>
          <w:trHeight w:hRule="exact" w:val="92"/>
        </w:trPr>
        <w:tc>
          <w:tcPr>
            <w:tcW w:type="dxa" w:w="2349"/>
            <w:vMerge/>
            <w:tcBorders/>
          </w:tcPr>
          <w:p/>
        </w:tc>
        <w:tc>
          <w:tcPr>
            <w:tcW w:type="dxa" w:w="2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14" w:after="0"/>
              <w:ind w:left="13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lidade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continuidade.</w:t>
            </w:r>
          </w:p>
        </w:tc>
        <w:tc>
          <w:tcPr>
            <w:tcW w:type="dxa" w:w="25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14" w:after="0"/>
              <w:ind w:left="12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criticidade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operacional.</w:t>
            </w:r>
          </w:p>
        </w:tc>
        <w:tc>
          <w:tcPr>
            <w:tcW w:type="dxa" w:w="2349"/>
            <w:vMerge/>
            <w:tcBorders/>
          </w:tcPr>
          <w:p/>
        </w:tc>
      </w:tr>
      <w:tr>
        <w:trPr>
          <w:trHeight w:hRule="exact" w:val="96"/>
        </w:trPr>
        <w:tc>
          <w:tcPr>
            <w:tcW w:type="dxa" w:w="2349"/>
            <w:vMerge/>
            <w:tcBorders/>
          </w:tcPr>
          <w:p/>
        </w:tc>
        <w:tc>
          <w:tcPr>
            <w:tcW w:type="dxa" w:w="2349"/>
            <w:vMerge/>
            <w:tcBorders/>
          </w:tcPr>
          <w:p/>
        </w:tc>
        <w:tc>
          <w:tcPr>
            <w:tcW w:type="dxa" w:w="2349"/>
            <w:vMerge/>
            <w:tcBorders/>
          </w:tcPr>
          <w:p/>
        </w:tc>
        <w:tc>
          <w:tcPr>
            <w:tcW w:type="dxa" w:w="270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10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Integração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desigual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com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rotinas</w:t>
            </w:r>
          </w:p>
        </w:tc>
      </w:tr>
      <w:tr>
        <w:trPr>
          <w:trHeight w:hRule="exact" w:val="176"/>
        </w:trPr>
        <w:tc>
          <w:tcPr>
            <w:tcW w:type="dxa" w:w="2349"/>
            <w:vMerge/>
            <w:tcBorders/>
          </w:tcPr>
          <w:p/>
        </w:tc>
        <w:tc>
          <w:tcPr>
            <w:tcW w:type="dxa" w:w="2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4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Energia,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emissões,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água,</w:t>
            </w:r>
          </w:p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4" w:after="0"/>
              <w:ind w:left="12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Internalização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efeitos</w:t>
            </w:r>
          </w:p>
        </w:tc>
        <w:tc>
          <w:tcPr>
            <w:tcW w:type="dxa" w:w="2349"/>
            <w:vMerge/>
            <w:tcBorders/>
          </w:tcPr>
          <w:p/>
        </w:tc>
      </w:tr>
      <w:tr>
        <w:trPr>
          <w:trHeight w:hRule="exact" w:val="200"/>
        </w:trPr>
        <w:tc>
          <w:tcPr>
            <w:tcW w:type="dxa" w:w="1768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28" w:after="0"/>
              <w:ind w:left="124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vida</w:t>
            </w:r>
          </w:p>
        </w:tc>
        <w:tc>
          <w:tcPr>
            <w:tcW w:type="dxa" w:w="2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6" w:after="0"/>
              <w:ind w:left="13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resíduos,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renovação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</w:t>
            </w:r>
          </w:p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28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diferidos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prevenção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dupla</w:t>
            </w:r>
          </w:p>
        </w:tc>
        <w:tc>
          <w:tcPr>
            <w:tcW w:type="dxa" w:w="270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28" w:after="0"/>
              <w:ind w:left="126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reais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manutenção.</w:t>
            </w:r>
          </w:p>
        </w:tc>
      </w:tr>
      <w:tr>
        <w:trPr>
          <w:trHeight w:hRule="exact" w:val="192"/>
        </w:trPr>
        <w:tc>
          <w:tcPr>
            <w:tcW w:type="dxa" w:w="2349"/>
            <w:vMerge/>
            <w:tcBorders/>
          </w:tcPr>
          <w:p/>
        </w:tc>
        <w:tc>
          <w:tcPr>
            <w:tcW w:type="dxa" w:w="2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6" w:after="0"/>
              <w:ind w:left="13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custo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ao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longo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da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vida</w:t>
            </w:r>
          </w:p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18" w:after="0"/>
              <w:ind w:left="12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contagem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temporal.</w:t>
            </w:r>
          </w:p>
        </w:tc>
        <w:tc>
          <w:tcPr>
            <w:tcW w:type="dxa" w:w="2349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60" w:lineRule="exact" w:before="4" w:after="14"/>
        <w:ind w:left="2150" w:right="0" w:firstLine="0"/>
        <w:jc w:val="left"/>
      </w:pPr>
      <w:r>
        <w:rPr>
          <w:rFonts w:ascii="LMRoman8" w:hAnsi="LMRoman8" w:eastAsia="LMRoman8"/>
          <w:b w:val="0"/>
          <w:i w:val="0"/>
          <w:color w:val="000000"/>
          <w:sz w:val="16"/>
        </w:rPr>
        <w:t>útil.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2349"/>
        <w:gridCol w:w="2349"/>
        <w:gridCol w:w="2349"/>
        <w:gridCol w:w="2349"/>
      </w:tblGrid>
      <w:tr>
        <w:trPr>
          <w:trHeight w:hRule="exact" w:val="180"/>
        </w:trPr>
        <w:tc>
          <w:tcPr>
            <w:tcW w:type="dxa" w:w="17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6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Social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ocupacional</w:t>
            </w:r>
          </w:p>
        </w:tc>
        <w:tc>
          <w:tcPr>
            <w:tcW w:type="dxa" w:w="2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4" w:after="0"/>
              <w:ind w:left="15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Segurança,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conforto,</w:t>
            </w:r>
          </w:p>
        </w:tc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4" w:after="0"/>
              <w:ind w:left="14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Critérios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sobre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usuários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</w:t>
            </w:r>
          </w:p>
        </w:tc>
        <w:tc>
          <w:tcPr>
            <w:tcW w:type="dxa" w:w="27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4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Menor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frequência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operacionali-</w:t>
            </w:r>
          </w:p>
        </w:tc>
      </w:tr>
      <w:tr>
        <w:trPr>
          <w:trHeight w:hRule="exact" w:val="198"/>
        </w:trPr>
        <w:tc>
          <w:tcPr>
            <w:tcW w:type="dxa" w:w="1748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398" w:after="0"/>
              <w:ind w:left="128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Informacional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</w:t>
            </w:r>
          </w:p>
        </w:tc>
        <w:tc>
          <w:tcPr>
            <w:tcW w:type="dxa" w:w="2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24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satisfação,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acessibilidade</w:t>
            </w:r>
          </w:p>
        </w:tc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24" w:after="0"/>
              <w:ind w:left="14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continuidade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das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atividades</w:t>
            </w:r>
          </w:p>
        </w:tc>
        <w:tc>
          <w:tcPr>
            <w:tcW w:type="dxa" w:w="270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26" w:after="0"/>
              <w:ind w:left="126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zação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que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os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critérios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técnicos.</w:t>
            </w:r>
          </w:p>
        </w:tc>
      </w:tr>
      <w:tr>
        <w:trPr>
          <w:trHeight w:hRule="exact" w:val="94"/>
        </w:trPr>
        <w:tc>
          <w:tcPr>
            <w:tcW w:type="dxa" w:w="2349"/>
            <w:vMerge/>
            <w:tcBorders/>
          </w:tcPr>
          <w:p/>
        </w:tc>
        <w:tc>
          <w:tcPr>
            <w:tcW w:type="dxa" w:w="2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6" w:after="0"/>
              <w:ind w:left="15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qualidade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percebida.</w:t>
            </w:r>
          </w:p>
        </w:tc>
        <w:tc>
          <w:tcPr>
            <w:tcW w:type="dxa" w:w="25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6" w:after="0"/>
              <w:ind w:left="14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acadêmicas.</w:t>
            </w:r>
          </w:p>
        </w:tc>
        <w:tc>
          <w:tcPr>
            <w:tcW w:type="dxa" w:w="2349"/>
            <w:vMerge/>
            <w:tcBorders/>
          </w:tcPr>
          <w:p/>
        </w:tc>
      </w:tr>
      <w:tr>
        <w:trPr>
          <w:trHeight w:hRule="exact" w:val="96"/>
        </w:trPr>
        <w:tc>
          <w:tcPr>
            <w:tcW w:type="dxa" w:w="2349"/>
            <w:vMerge/>
            <w:tcBorders/>
          </w:tcPr>
          <w:p/>
        </w:tc>
        <w:tc>
          <w:tcPr>
            <w:tcW w:type="dxa" w:w="2349"/>
            <w:vMerge/>
            <w:tcBorders/>
          </w:tcPr>
          <w:p/>
        </w:tc>
        <w:tc>
          <w:tcPr>
            <w:tcW w:type="dxa" w:w="2349"/>
            <w:vMerge/>
            <w:tcBorders/>
          </w:tcPr>
          <w:p/>
        </w:tc>
        <w:tc>
          <w:tcPr>
            <w:tcW w:type="dxa" w:w="270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06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Maturidade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digital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interopera-</w:t>
            </w:r>
          </w:p>
        </w:tc>
      </w:tr>
      <w:tr>
        <w:trPr>
          <w:trHeight w:hRule="exact" w:val="172"/>
        </w:trPr>
        <w:tc>
          <w:tcPr>
            <w:tcW w:type="dxa" w:w="2349"/>
            <w:vMerge/>
            <w:tcBorders/>
          </w:tcPr>
          <w:p/>
        </w:tc>
        <w:tc>
          <w:tcPr>
            <w:tcW w:type="dxa" w:w="2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0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BIM,</w:t>
            </w:r>
            <w:r>
              <w:rPr>
                <w:rFonts w:ascii="LMRoman8" w:hAnsi="LMRoman8" w:eastAsia="LMRoman8"/>
                <w:b w:val="0"/>
                <w:i/>
                <w:color w:val="000000"/>
                <w:sz w:val="16"/>
              </w:rPr>
              <w:t>digital</w:t>
            </w:r>
            <w:r>
              <w:rPr>
                <w:rFonts w:ascii="LMRoman8" w:hAnsi="LMRoman8" w:eastAsia="LMRoman8"/>
                <w:b w:val="0"/>
                <w:i/>
                <w:color w:val="000000"/>
                <w:sz w:val="16"/>
              </w:rPr>
              <w:t>twin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senso-</w:t>
            </w:r>
          </w:p>
        </w:tc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0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Rastreabilidade,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integração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de</w:t>
            </w:r>
          </w:p>
        </w:tc>
        <w:tc>
          <w:tcPr>
            <w:tcW w:type="dxa" w:w="2349"/>
            <w:vMerge/>
            <w:tcBorders/>
          </w:tcPr>
          <w:p/>
        </w:tc>
      </w:tr>
      <w:tr>
        <w:trPr>
          <w:trHeight w:hRule="exact" w:val="200"/>
        </w:trPr>
        <w:tc>
          <w:tcPr>
            <w:tcW w:type="dxa" w:w="17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34" w:after="0"/>
              <w:ind w:left="128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digital</w:t>
            </w:r>
          </w:p>
        </w:tc>
        <w:tc>
          <w:tcPr>
            <w:tcW w:type="dxa" w:w="2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32" w:after="0"/>
              <w:ind w:left="15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res,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ontologias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manu-</w:t>
            </w:r>
          </w:p>
        </w:tc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32" w:after="0"/>
              <w:ind w:left="14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dados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atualização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progres-</w:t>
            </w:r>
          </w:p>
        </w:tc>
        <w:tc>
          <w:tcPr>
            <w:tcW w:type="dxa" w:w="27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34" w:after="0"/>
              <w:ind w:left="126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bilidade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ainda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heterogêneas.</w:t>
            </w:r>
          </w:p>
        </w:tc>
      </w:tr>
      <w:tr>
        <w:trPr>
          <w:trHeight w:hRule="exact" w:val="196"/>
        </w:trPr>
        <w:tc>
          <w:tcPr>
            <w:tcW w:type="dxa" w:w="1748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10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Integração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multicri-</w:t>
            </w:r>
          </w:p>
        </w:tc>
        <w:tc>
          <w:tcPr>
            <w:tcW w:type="dxa" w:w="2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22" w:after="0"/>
              <w:ind w:left="15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tenção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preditiva.</w:t>
            </w:r>
          </w:p>
        </w:tc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22" w:after="0"/>
              <w:ind w:left="14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siva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dos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indicadores.</w:t>
            </w:r>
          </w:p>
        </w:tc>
        <w:tc>
          <w:tcPr>
            <w:tcW w:type="dxa" w:w="270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10" w:after="0"/>
              <w:ind w:left="126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Poucas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aplicações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documentam</w:t>
            </w:r>
          </w:p>
        </w:tc>
      </w:tr>
      <w:tr>
        <w:trPr>
          <w:trHeight w:hRule="exact" w:val="184"/>
        </w:trPr>
        <w:tc>
          <w:tcPr>
            <w:tcW w:type="dxa" w:w="2349"/>
            <w:vMerge/>
            <w:tcBorders/>
          </w:tcPr>
          <w:p/>
        </w:tc>
        <w:tc>
          <w:tcPr>
            <w:tcW w:type="dxa" w:w="2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4" w:after="0"/>
              <w:ind w:left="15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AHP,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TOPSIS,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ANP,</w:t>
            </w:r>
          </w:p>
        </w:tc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4" w:after="0"/>
              <w:ind w:left="14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Estruturação,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ponderação,</w:t>
            </w:r>
          </w:p>
        </w:tc>
        <w:tc>
          <w:tcPr>
            <w:tcW w:type="dxa" w:w="2349"/>
            <w:vMerge/>
            <w:tcBorders/>
          </w:tcPr>
          <w:p/>
        </w:tc>
      </w:tr>
      <w:tr>
        <w:trPr>
          <w:trHeight w:hRule="exact" w:val="180"/>
        </w:trPr>
        <w:tc>
          <w:tcPr>
            <w:tcW w:type="dxa" w:w="1748"/>
            <w:vMerge w:val="restart"/>
            <w:tcBorders>
              <w:bottom w:sz="7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20" w:after="0"/>
              <w:ind w:left="128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tério</w:t>
            </w:r>
          </w:p>
        </w:tc>
        <w:tc>
          <w:tcPr>
            <w:tcW w:type="dxa" w:w="2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20" w:after="0"/>
              <w:ind w:left="15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Delphi,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lógica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fuzzy,</w:t>
            </w:r>
          </w:p>
        </w:tc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20" w:after="0"/>
              <w:ind w:left="14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comparação,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sensibilidade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</w:t>
            </w:r>
          </w:p>
        </w:tc>
        <w:tc>
          <w:tcPr>
            <w:tcW w:type="dxa" w:w="27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20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a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cadeia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completa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até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a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decisão</w:t>
            </w:r>
          </w:p>
        </w:tc>
      </w:tr>
      <w:tr>
        <w:trPr>
          <w:trHeight w:hRule="exact" w:val="262"/>
        </w:trPr>
        <w:tc>
          <w:tcPr>
            <w:tcW w:type="dxa" w:w="2349"/>
            <w:vMerge/>
            <w:tcBorders>
              <w:bottom w:sz="7.48799991607666" w:val="single" w:color="#000000"/>
            </w:tcBorders>
          </w:tcPr>
          <w:p/>
        </w:tc>
        <w:tc>
          <w:tcPr>
            <w:tcW w:type="dxa" w:w="2120"/>
            <w:tcBorders>
              <w:bottom w:sz="7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30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otimização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pontuação.</w:t>
            </w:r>
          </w:p>
        </w:tc>
        <w:tc>
          <w:tcPr>
            <w:tcW w:type="dxa" w:w="2520"/>
            <w:tcBorders>
              <w:bottom w:sz="7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30" w:after="0"/>
              <w:ind w:left="14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registro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das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escolhas.</w:t>
            </w:r>
          </w:p>
        </w:tc>
        <w:tc>
          <w:tcPr>
            <w:tcW w:type="dxa" w:w="2702"/>
            <w:tcBorders>
              <w:bottom w:sz="7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30" w:after="0"/>
              <w:ind w:left="126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institucional.</w:t>
            </w:r>
          </w:p>
        </w:tc>
      </w:tr>
    </w:tbl>
    <w:p>
      <w:pPr>
        <w:autoSpaceDN w:val="0"/>
        <w:autoSpaceDE w:val="0"/>
        <w:widowControl/>
        <w:spacing w:line="200" w:lineRule="exact" w:before="70" w:after="0"/>
        <w:ind w:left="0" w:right="3336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Fonte: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elaborado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pelo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autor.</w:t>
      </w:r>
    </w:p>
    <w:p>
      <w:pPr>
        <w:autoSpaceDN w:val="0"/>
        <w:autoSpaceDE w:val="0"/>
        <w:widowControl/>
        <w:spacing w:line="288" w:lineRule="exact" w:before="280" w:after="0"/>
        <w:ind w:left="260" w:right="20" w:firstLine="35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técnica-operacional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manutenção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ciclo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vida,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da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confiabilidade e do desempenho do ativo.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Planejar conjuntamente manutenção e renovação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permite coordenar condição física, consumo de energia e restrições orçamentárias (NÄGELI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et al., 2019).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Estudos de manutenibilidade mostram ainda que decisões tomadas no projeto 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influenciam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acesso,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segurança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custo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intervenções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futuras.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protocolo,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essa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 xml:space="preserve">corrente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sustenta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critérios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desempenho,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risco,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condição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física,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vida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útil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qualidade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serviço.</w:t>
      </w:r>
    </w:p>
    <w:p>
      <w:pPr>
        <w:autoSpaceDN w:val="0"/>
        <w:autoSpaceDE w:val="0"/>
        <w:widowControl/>
        <w:spacing w:line="288" w:lineRule="exact" w:before="2" w:after="0"/>
        <w:ind w:left="260" w:right="0" w:firstLine="352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ambiental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ciclo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amplia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decisão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energia,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emissões,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água,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resíduos e efeitos intertemporais.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 gestão de facilidades sustentável conecta esses impactos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níveis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estratégico,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tático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operacional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(NIELSEN;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SARASOJA;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GALAMBA,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2016;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OPOKU;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2022;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OKORO,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2023).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ciclo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eixo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transversal,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custos,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riscos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impactos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futuros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podem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aparecer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dimensão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produzir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dupla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contagem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tratados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bloco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independente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regras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explícitas.</w:t>
      </w:r>
    </w:p>
    <w:p>
      <w:pPr>
        <w:autoSpaceDN w:val="0"/>
        <w:autoSpaceDE w:val="0"/>
        <w:widowControl/>
        <w:spacing w:line="288" w:lineRule="exact" w:before="2" w:after="0"/>
        <w:ind w:left="260" w:right="64" w:firstLine="35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social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ocupacional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desloca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avaliação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ativo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pessoas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utilizam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edificação.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Segurança,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conforto,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satisfação,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acessibilidade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continuidade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atividades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acadêmicas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efeitos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substantivos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manutenção.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Em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edifícios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educacionais,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estruturas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avaliação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combinam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desempenho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técnico,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energia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percepção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dos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usuários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(ALFALAH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2022).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Essa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corrente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evita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uma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classificação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tecnicamente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eficiente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seja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socialmente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inadequada.</w:t>
      </w:r>
    </w:p>
    <w:p>
      <w:pPr>
        <w:autoSpaceDN w:val="0"/>
        <w:tabs>
          <w:tab w:pos="612" w:val="left"/>
          <w:tab w:pos="6696" w:val="left"/>
        </w:tabs>
        <w:autoSpaceDE w:val="0"/>
        <w:widowControl/>
        <w:spacing w:line="288" w:lineRule="exact" w:before="0" w:after="0"/>
        <w:ind w:left="242" w:right="0" w:firstLine="0"/>
        <w:jc w:val="left"/>
      </w:pP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informacional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digital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abrange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modelagem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informação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construção, </w:t>
      </w:r>
      <w:r>
        <w:rPr>
          <w:rFonts w:ascii="LMRoman12" w:hAnsi="LMRoman12" w:eastAsia="LMRoman12"/>
          <w:b w:val="0"/>
          <w:i/>
          <w:color w:val="000000"/>
          <w:sz w:val="24"/>
        </w:rPr>
        <w:t>digital</w:t>
      </w:r>
      <w:r>
        <w:rPr>
          <w:rFonts w:ascii="LMRoman12" w:hAnsi="LMRoman12" w:eastAsia="LMRoman12"/>
          <w:b w:val="0"/>
          <w:i/>
          <w:color w:val="000000"/>
          <w:sz w:val="24"/>
        </w:rPr>
        <w:t>twins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sensores,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ontologias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manutenção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preditiva.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Essas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tecnologias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podem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conectar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cadastro,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condição,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histórico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intervenções,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presença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literatura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comprova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maturidade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institucional.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Revisões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transição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BIM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/>
          <w:color w:val="000000"/>
          <w:sz w:val="24"/>
        </w:rPr>
        <w:t>digital</w:t>
      </w:r>
      <w:r>
        <w:rPr>
          <w:rFonts w:ascii="LMRoman12" w:hAnsi="LMRoman12" w:eastAsia="LMRoman12"/>
          <w:b w:val="0"/>
          <w:i/>
          <w:color w:val="000000"/>
          <w:sz w:val="24"/>
        </w:rPr>
        <w:t>twin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informação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ativos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mostram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potencial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integração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simultaneamente,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lacunas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interoperabilidade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retroalimentação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(DENG;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MENASSA;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KAMAT,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2021;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ESPINOSA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GISPERT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2025;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GORETTI;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KAMING,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2023).</w:t>
      </w:r>
    </w:p>
    <w:p>
      <w:pPr>
        <w:autoSpaceDN w:val="0"/>
        <w:autoSpaceDE w:val="0"/>
        <w:widowControl/>
        <w:spacing w:line="238" w:lineRule="exact" w:before="452" w:after="0"/>
        <w:ind w:left="0" w:right="454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</w:t>
      </w:r>
    </w:p>
    <w:p>
      <w:pPr>
        <w:sectPr>
          <w:pgSz w:w="11906" w:h="16838"/>
          <w:pgMar w:top="836" w:right="1068" w:bottom="24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6"/>
        <w:ind w:left="0" w:right="0"/>
      </w:pPr>
    </w:p>
    <w:p>
      <w:pPr>
        <w:autoSpaceDN w:val="0"/>
        <w:autoSpaceDE w:val="0"/>
        <w:widowControl/>
        <w:spacing w:line="282" w:lineRule="exact" w:before="0" w:after="0"/>
        <w:ind w:left="260" w:right="0" w:firstLine="352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integração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multicritério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fornece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procedimentos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estruturar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conflitos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objetivos.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AHP,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TOPSIS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apoiam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ponderação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ordenação;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Delphi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apoia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construção de consenso; métodos fuzzy tratam julgamentos linguísticos; otimização explora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restrições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combinações.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Aplicações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edifícios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públicos,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educacionais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/>
          <w:color w:val="000000"/>
          <w:sz w:val="24"/>
        </w:rPr>
        <w:t>campus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confir-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mam a utilidade dessas abordagens (ALFALAH et al., 2022; NAJI; GUNDUZ; MAKI, 2023;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MASMOUDI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2026).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Ainda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assim,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nenhum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método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escolhido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apenas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pela 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frequência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bibliográfica: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problema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decisório,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qualidade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dos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dados,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 xml:space="preserve">compensabilidade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critérios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capacidade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usuários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precisam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orientar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seleção.</w:t>
      </w:r>
    </w:p>
    <w:p>
      <w:pPr>
        <w:autoSpaceDN w:val="0"/>
        <w:tabs>
          <w:tab w:pos="842" w:val="left"/>
        </w:tabs>
        <w:autoSpaceDE w:val="0"/>
        <w:widowControl/>
        <w:spacing w:line="346" w:lineRule="exact" w:before="478" w:after="0"/>
        <w:ind w:left="260" w:right="0" w:firstLine="0"/>
        <w:jc w:val="left"/>
      </w:pP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 xml:space="preserve">3 </w:t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Procedimentos</w:t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metodológicos</w:t>
      </w:r>
    </w:p>
    <w:p>
      <w:pPr>
        <w:autoSpaceDN w:val="0"/>
        <w:tabs>
          <w:tab w:pos="254" w:val="left"/>
          <w:tab w:pos="260" w:val="left"/>
        </w:tabs>
        <w:autoSpaceDE w:val="0"/>
        <w:widowControl/>
        <w:spacing w:line="290" w:lineRule="exact" w:before="210" w:after="0"/>
        <w:ind w:left="234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 pesquisa foi estruturada como revisão integrativa sistematizada, com apoio bibliométrico e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síntese temática.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 revisão integrativa permite reunir estudos com diferentes delineamentos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sob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uma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pergunta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comum,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desde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processo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busca,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seleção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síntese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seja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explicitado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(WHITTEMORE; KNAFL, 2005; SNYDER, 2019).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O apoio bibliométrico foi utilizado para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organizar o corpus, descrever sua distribuição e orientar a síntese temática (DONTHU et al.,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2021).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análise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organizada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níveis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complementares.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camada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bibliométrica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ampliada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utilizou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372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classificados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A_nucleo_forte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título,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329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palavras-chave.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conjunto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empregado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analisar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fontes,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coocorrência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palavras-chave,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mapa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temático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evolução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2010–2020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2021–2026.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núcleo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104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permaneceu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síntese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temática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diretamente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alinhada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às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perguntas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pesquisa.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colaboração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produzida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porque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apenas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91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dos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372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registros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possuíam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autores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não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havia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afiliações;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acoplamento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bibliográfico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calculado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referências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citadas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preservadas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consolidado.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normalização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reuniu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variantes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ortográficas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equivalentes,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relações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coocorrência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normalizadas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frequências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marginais.</w:t>
      </w:r>
    </w:p>
    <w:p>
      <w:pPr>
        <w:autoSpaceDN w:val="0"/>
        <w:autoSpaceDE w:val="0"/>
        <w:widowControl/>
        <w:spacing w:line="288" w:lineRule="exact" w:before="2" w:after="0"/>
        <w:ind w:left="260" w:right="0" w:firstLine="352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organização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relato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metodológico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explicita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pergunta,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busca,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seleção,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extração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síntese,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elementos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transparência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reprodutibilidade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destacados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Hu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al.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(2026).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referência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é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empregada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apenas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parâmetro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relato;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pré-registro,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dupla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revisão,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avaliação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risco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viés,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elegibilidade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integral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metanálise,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procedimentos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realizados.</w:t>
      </w:r>
    </w:p>
    <w:p>
      <w:pPr>
        <w:autoSpaceDN w:val="0"/>
        <w:tabs>
          <w:tab w:pos="996" w:val="left"/>
        </w:tabs>
        <w:autoSpaceDE w:val="0"/>
        <w:widowControl/>
        <w:spacing w:line="286" w:lineRule="exact" w:before="418" w:after="0"/>
        <w:ind w:left="260" w:right="0" w:firstLine="0"/>
        <w:jc w:val="left"/>
      </w:pP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 xml:space="preserve">3.1 </w:t>
      </w:r>
      <w:r>
        <w:tab/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Reprodutibilidade,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ciência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aberta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e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limites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da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automação</w:t>
      </w:r>
    </w:p>
    <w:p>
      <w:pPr>
        <w:autoSpaceDN w:val="0"/>
        <w:tabs>
          <w:tab w:pos="6200" w:val="left"/>
        </w:tabs>
        <w:autoSpaceDE w:val="0"/>
        <w:widowControl/>
        <w:spacing w:line="288" w:lineRule="exact" w:before="144" w:after="0"/>
        <w:ind w:left="254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Consultas, exportações, codebook, matrizes intermediárias, scripts determinísticos, figuras e 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verificações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automatizadas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foram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versionados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repositório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da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pesquisa.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fluxo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 xml:space="preserve">preserva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identificadores,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proveniência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regras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deduplicação,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decisões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triagem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parâmetros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síntese,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permitindo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numéricos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produtos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bibliométricos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sejam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recompilados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partir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arquivos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disponíveis.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Essa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rastreabilidade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constitui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contribuição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ciência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aberta,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ainda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substitua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pré-registro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revisão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independente.</w:t>
      </w:r>
    </w:p>
    <w:p>
      <w:pPr>
        <w:autoSpaceDN w:val="0"/>
        <w:autoSpaceDE w:val="0"/>
        <w:widowControl/>
        <w:spacing w:line="290" w:lineRule="exact" w:before="0" w:after="0"/>
        <w:ind w:left="260" w:right="0" w:firstLine="352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caráter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determinístico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rotinas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reduz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variações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execução: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mesma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entrada,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mesma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código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mesmos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parâmetros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produzem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mesma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saída.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não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elimina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subjetividade.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codebook,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limiares,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categorias,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expressões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busca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decisões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humanas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casos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duvidosos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incorporam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escolhas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analíticas.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automação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torna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essas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escolhas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auditáveis,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converte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verdade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objetiva.</w:t>
      </w:r>
    </w:p>
    <w:p>
      <w:pPr>
        <w:autoSpaceDN w:val="0"/>
        <w:autoSpaceDE w:val="0"/>
        <w:widowControl/>
        <w:spacing w:line="288" w:lineRule="exact" w:before="0" w:after="0"/>
        <w:ind w:left="260" w:right="0" w:firstLine="352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literatura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cinzenta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não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incluída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busca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estruturada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porque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desenho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priorizou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fontes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metadados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bibliográficos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interoperáveis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campos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necessários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deduplicação</w:t>
      </w:r>
    </w:p>
    <w:p>
      <w:pPr>
        <w:autoSpaceDN w:val="0"/>
        <w:autoSpaceDE w:val="0"/>
        <w:widowControl/>
        <w:spacing w:line="238" w:lineRule="exact" w:before="394" w:after="0"/>
        <w:ind w:left="0" w:right="4536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4</w:t>
      </w:r>
    </w:p>
    <w:p>
      <w:pPr>
        <w:sectPr>
          <w:pgSz w:w="11906" w:h="16838"/>
          <w:pgMar w:top="878" w:right="1076" w:bottom="24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6"/>
        <w:ind w:left="0" w:right="0"/>
      </w:pPr>
    </w:p>
    <w:p>
      <w:pPr>
        <w:autoSpaceDN w:val="0"/>
        <w:autoSpaceDE w:val="0"/>
        <w:widowControl/>
        <w:spacing w:line="278" w:lineRule="exact" w:before="0" w:after="0"/>
        <w:ind w:left="260" w:right="60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análise.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Essa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decisão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melhora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comparabilidade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reduzir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cobertura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relatórios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técnicos,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normas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planos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manutenção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experiências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institucionais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indexadas.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Portanto,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ausência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é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cobertura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apresentada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evidência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maior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qualidade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corpus.</w:t>
      </w:r>
    </w:p>
    <w:p>
      <w:pPr>
        <w:autoSpaceDN w:val="0"/>
        <w:autoSpaceDE w:val="0"/>
        <w:widowControl/>
        <w:spacing w:line="288" w:lineRule="exact" w:before="0" w:after="0"/>
        <w:ind w:left="244" w:right="60" w:firstLine="35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padronização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terminológica,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MCDM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designa</w:t>
      </w:r>
      <w:r>
        <w:rPr>
          <w:rFonts w:ascii="LMRoman12" w:hAnsi="LMRoman12" w:eastAsia="LMRoman12"/>
          <w:b w:val="0"/>
          <w:i/>
          <w:color w:val="000000"/>
          <w:sz w:val="24"/>
        </w:rPr>
        <w:t>multi-criteria</w:t>
      </w:r>
      <w:r>
        <w:rPr>
          <w:rFonts w:ascii="LMRoman12" w:hAnsi="LMRoman12" w:eastAsia="LMRoman12"/>
          <w:b w:val="0"/>
          <w:i/>
          <w:color w:val="000000"/>
          <w:sz w:val="24"/>
        </w:rPr>
        <w:t>decision-making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 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MCDA,</w:t>
      </w:r>
      <w:r>
        <w:rPr>
          <w:w w:val="98.82644017537436"/>
          <w:rFonts w:ascii="LMRoman12" w:hAnsi="LMRoman12" w:eastAsia="LMRoman12"/>
          <w:b w:val="0"/>
          <w:i/>
          <w:color w:val="000000"/>
          <w:sz w:val="24"/>
        </w:rPr>
        <w:t>multi-criteria</w:t>
      </w:r>
      <w:r>
        <w:rPr>
          <w:w w:val="98.82644017537436"/>
          <w:rFonts w:ascii="LMRoman12" w:hAnsi="LMRoman12" w:eastAsia="LMRoman12"/>
          <w:b w:val="0"/>
          <w:i/>
          <w:color w:val="000000"/>
          <w:sz w:val="24"/>
        </w:rPr>
        <w:t>decision</w:t>
      </w:r>
      <w:r>
        <w:rPr>
          <w:w w:val="98.82644017537436"/>
          <w:rFonts w:ascii="LMRoman12" w:hAnsi="LMRoman12" w:eastAsia="LMRoman12"/>
          <w:b w:val="0"/>
          <w:i/>
          <w:color w:val="000000"/>
          <w:sz w:val="24"/>
        </w:rPr>
        <w:t>analysis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Entre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os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métodos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nomeados,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AHP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corresponde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rFonts w:ascii="LMRoman12" w:hAnsi="LMRoman12" w:eastAsia="LMRoman12"/>
          <w:b w:val="0"/>
          <w:i/>
          <w:color w:val="000000"/>
          <w:sz w:val="24"/>
        </w:rPr>
        <w:t>Analytic</w:t>
      </w:r>
      <w:r>
        <w:rPr>
          <w:rFonts w:ascii="LMRoman12" w:hAnsi="LMRoman12" w:eastAsia="LMRoman12"/>
          <w:b w:val="0"/>
          <w:i/>
          <w:color w:val="000000"/>
          <w:sz w:val="24"/>
        </w:rPr>
        <w:t>Hierarchy</w:t>
      </w:r>
      <w:r>
        <w:rPr>
          <w:rFonts w:ascii="LMRoman12" w:hAnsi="LMRoman12" w:eastAsia="LMRoman12"/>
          <w:b w:val="0"/>
          <w:i/>
          <w:color w:val="000000"/>
          <w:sz w:val="24"/>
        </w:rPr>
        <w:t>Process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TOPSIS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/>
          <w:color w:val="000000"/>
          <w:sz w:val="24"/>
        </w:rPr>
        <w:t>Technique</w:t>
      </w:r>
      <w:r>
        <w:rPr>
          <w:rFonts w:ascii="LMRoman12" w:hAnsi="LMRoman12" w:eastAsia="LMRoman12"/>
          <w:b w:val="0"/>
          <w:i/>
          <w:color w:val="000000"/>
          <w:sz w:val="24"/>
        </w:rPr>
        <w:t>for</w:t>
      </w:r>
      <w:r>
        <w:rPr>
          <w:rFonts w:ascii="LMRoman12" w:hAnsi="LMRoman12" w:eastAsia="LMRoman12"/>
          <w:b w:val="0"/>
          <w:i/>
          <w:color w:val="000000"/>
          <w:sz w:val="24"/>
        </w:rPr>
        <w:t>Order</w:t>
      </w:r>
      <w:r>
        <w:rPr>
          <w:rFonts w:ascii="LMRoman12" w:hAnsi="LMRoman12" w:eastAsia="LMRoman12"/>
          <w:b w:val="0"/>
          <w:i/>
          <w:color w:val="000000"/>
          <w:sz w:val="24"/>
        </w:rPr>
        <w:t>Preference</w:t>
      </w:r>
      <w:r>
        <w:rPr>
          <w:rFonts w:ascii="LMRoman12" w:hAnsi="LMRoman12" w:eastAsia="LMRoman12"/>
          <w:b w:val="0"/>
          <w:i/>
          <w:color w:val="000000"/>
          <w:sz w:val="24"/>
        </w:rPr>
        <w:t>by</w:t>
      </w:r>
      <w:r>
        <w:rPr>
          <w:rFonts w:ascii="LMRoman12" w:hAnsi="LMRoman12" w:eastAsia="LMRoman12"/>
          <w:b w:val="0"/>
          <w:i/>
          <w:color w:val="000000"/>
          <w:sz w:val="24"/>
        </w:rPr>
        <w:t>Similarity</w:t>
      </w:r>
      <w:r>
        <w:rPr>
          <w:rFonts w:ascii="LMRoman12" w:hAnsi="LMRoman12" w:eastAsia="LMRoman12"/>
          <w:b w:val="0"/>
          <w:i/>
          <w:color w:val="000000"/>
          <w:sz w:val="24"/>
        </w:rPr>
        <w:t xml:space="preserve">to </w:t>
      </w:r>
      <w:r>
        <w:rPr>
          <w:rFonts w:ascii="LMRoman12" w:hAnsi="LMRoman12" w:eastAsia="LMRoman12"/>
          <w:b w:val="0"/>
          <w:i/>
          <w:color w:val="000000"/>
          <w:sz w:val="24"/>
        </w:rPr>
        <w:t>Ideal</w:t>
      </w:r>
      <w:r>
        <w:rPr>
          <w:rFonts w:ascii="LMRoman12" w:hAnsi="LMRoman12" w:eastAsia="LMRoman12"/>
          <w:b w:val="0"/>
          <w:i/>
          <w:color w:val="000000"/>
          <w:sz w:val="24"/>
        </w:rPr>
        <w:t>Solution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/>
          <w:color w:val="000000"/>
          <w:sz w:val="24"/>
        </w:rPr>
        <w:t>Analytic</w:t>
      </w:r>
      <w:r>
        <w:rPr>
          <w:rFonts w:ascii="LMRoman12" w:hAnsi="LMRoman12" w:eastAsia="LMRoman12"/>
          <w:b w:val="0"/>
          <w:i/>
          <w:color w:val="000000"/>
          <w:sz w:val="24"/>
        </w:rPr>
        <w:t>Network</w:t>
      </w:r>
      <w:r>
        <w:rPr>
          <w:rFonts w:ascii="LMRoman12" w:hAnsi="LMRoman12" w:eastAsia="LMRoman12"/>
          <w:b w:val="0"/>
          <w:i/>
          <w:color w:val="000000"/>
          <w:sz w:val="24"/>
        </w:rPr>
        <w:t>Process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" w:after="0"/>
        <w:ind w:left="260" w:right="58" w:firstLine="35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matriz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alinhamento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Tabela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explicita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correspondência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pergunta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central,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questões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específicas,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critérios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seleção,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campos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extraídos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resultados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apresentados.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contexto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público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universitário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métodos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apoio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decisão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foram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campos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caracterização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analítica,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requisitos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obrigatórios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inclusão.</w:t>
      </w:r>
    </w:p>
    <w:p>
      <w:pPr>
        <w:autoSpaceDN w:val="0"/>
        <w:autoSpaceDE w:val="0"/>
        <w:widowControl/>
        <w:spacing w:line="218" w:lineRule="exact" w:before="284" w:after="230"/>
        <w:ind w:left="970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Tabela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2.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Matriz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alinhamento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entre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perguntas,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seleção,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extração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resultados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71.9999999999999" w:type="dxa"/>
      </w:tblPr>
      <w:tblGrid>
        <w:gridCol w:w="1878"/>
        <w:gridCol w:w="1878"/>
        <w:gridCol w:w="1878"/>
        <w:gridCol w:w="1878"/>
        <w:gridCol w:w="1878"/>
      </w:tblGrid>
      <w:tr>
        <w:trPr>
          <w:trHeight w:hRule="exact" w:val="248"/>
        </w:trPr>
        <w:tc>
          <w:tcPr>
            <w:tcW w:type="dxa" w:w="1088"/>
            <w:vMerge w:val="restart"/>
            <w:tcBorders>
              <w:top w:sz="7.48799991607666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76" w:after="0"/>
              <w:ind w:left="128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Elemento</w:t>
            </w:r>
          </w:p>
        </w:tc>
        <w:tc>
          <w:tcPr>
            <w:tcW w:type="dxa" w:w="1940"/>
            <w:vMerge w:val="restart"/>
            <w:tcBorders>
              <w:top w:sz="7.48799991607666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76" w:after="0"/>
              <w:ind w:left="30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Formulação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sintética</w:t>
            </w:r>
          </w:p>
        </w:tc>
        <w:tc>
          <w:tcPr>
            <w:tcW w:type="dxa" w:w="1560"/>
            <w:tcBorders>
              <w:top w:sz="7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74" w:after="0"/>
              <w:ind w:left="13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Critério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sele-</w:t>
            </w:r>
          </w:p>
        </w:tc>
        <w:tc>
          <w:tcPr>
            <w:tcW w:type="dxa" w:w="2520"/>
            <w:vMerge w:val="restart"/>
            <w:tcBorders>
              <w:top w:sz="7.48799991607666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76" w:after="0"/>
              <w:ind w:left="112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Campo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extração</w:t>
            </w:r>
          </w:p>
        </w:tc>
        <w:tc>
          <w:tcPr>
            <w:tcW w:type="dxa" w:w="1942"/>
            <w:tcBorders>
              <w:top w:sz="7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74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Resultado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correspon-</w:t>
            </w:r>
          </w:p>
        </w:tc>
      </w:tr>
      <w:tr>
        <w:trPr>
          <w:trHeight w:hRule="exact" w:val="256"/>
        </w:trPr>
        <w:tc>
          <w:tcPr>
            <w:tcW w:type="dxa" w:w="1878"/>
            <w:vMerge/>
            <w:tcBorders>
              <w:top w:sz="7.48799991607666" w:val="single" w:color="#000000"/>
              <w:bottom w:sz="4.679999828338623" w:val="single" w:color="#000000"/>
            </w:tcBorders>
          </w:tcPr>
          <w:p/>
        </w:tc>
        <w:tc>
          <w:tcPr>
            <w:tcW w:type="dxa" w:w="1878"/>
            <w:vMerge/>
            <w:tcBorders>
              <w:top w:sz="7.48799991607666" w:val="single" w:color="#000000"/>
              <w:bottom w:sz="4.679999828338623" w:val="single" w:color="#000000"/>
            </w:tcBorders>
          </w:tcPr>
          <w:p/>
        </w:tc>
        <w:tc>
          <w:tcPr>
            <w:tcW w:type="dxa" w:w="1560"/>
            <w:tcBorders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28" w:after="0"/>
              <w:ind w:left="13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ção</w:t>
            </w:r>
          </w:p>
        </w:tc>
        <w:tc>
          <w:tcPr>
            <w:tcW w:type="dxa" w:w="1878"/>
            <w:vMerge/>
            <w:tcBorders>
              <w:top w:sz="7.48799991607666" w:val="single" w:color="#000000"/>
              <w:bottom w:sz="4.679999828338623" w:val="single" w:color="#000000"/>
            </w:tcBorders>
          </w:tcPr>
          <w:p/>
        </w:tc>
        <w:tc>
          <w:tcPr>
            <w:tcW w:type="dxa" w:w="1942"/>
            <w:tcBorders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28" w:after="0"/>
              <w:ind w:left="156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dente</w:t>
            </w:r>
          </w:p>
        </w:tc>
      </w:tr>
      <w:tr>
        <w:trPr>
          <w:trHeight w:hRule="exact" w:val="244"/>
        </w:trPr>
        <w:tc>
          <w:tcPr>
            <w:tcW w:type="dxa" w:w="1088"/>
            <w:vMerge w:val="restart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74" w:after="0"/>
              <w:ind w:left="128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RQ0</w:t>
            </w:r>
          </w:p>
        </w:tc>
        <w:tc>
          <w:tcPr>
            <w:tcW w:type="dxa" w:w="1940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72" w:after="0"/>
              <w:ind w:left="30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Integração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entre</w:t>
            </w:r>
          </w:p>
        </w:tc>
        <w:tc>
          <w:tcPr>
            <w:tcW w:type="dxa" w:w="1560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72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Objeto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predial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</w:t>
            </w:r>
          </w:p>
        </w:tc>
        <w:tc>
          <w:tcPr>
            <w:tcW w:type="dxa" w:w="2520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68" w:after="0"/>
              <w:ind w:left="0" w:right="0" w:firstLine="0"/>
              <w:jc w:val="center"/>
            </w:pPr>
            <w:r>
              <w:rPr>
                <w:rFonts w:ascii="LMMono8" w:hAnsi="LMMono8" w:eastAsia="LMMono8"/>
                <w:b w:val="0"/>
                <w:i w:val="0"/>
                <w:color w:val="000000"/>
                <w:sz w:val="16"/>
              </w:rPr>
              <w:t>rq0_confirmada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;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contribuição;</w:t>
            </w:r>
          </w:p>
        </w:tc>
        <w:tc>
          <w:tcPr>
            <w:tcW w:type="dxa" w:w="1942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72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Síntese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integrada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nas</w:t>
            </w:r>
          </w:p>
        </w:tc>
      </w:tr>
      <w:tr>
        <w:trPr>
          <w:trHeight w:hRule="exact" w:val="200"/>
        </w:trPr>
        <w:tc>
          <w:tcPr>
            <w:tcW w:type="dxa" w:w="1878"/>
            <w:vMerge/>
            <w:tcBorders>
              <w:top w:sz="4.679999828338623" w:val="single" w:color="#000000"/>
            </w:tcBorders>
          </w:tcPr>
          <w:p/>
        </w:tc>
        <w:tc>
          <w:tcPr>
            <w:tcW w:type="dxa" w:w="1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4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sustentabilidade,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4" w:after="0"/>
              <w:ind w:left="13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sustentabilidade</w:t>
            </w:r>
          </w:p>
        </w:tc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4" w:after="0"/>
              <w:ind w:left="112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critérios;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métodos;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contexto;</w:t>
            </w:r>
          </w:p>
        </w:tc>
        <w:tc>
          <w:tcPr>
            <w:tcW w:type="dxa" w:w="194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26" w:after="0"/>
              <w:ind w:left="156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Seções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6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a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9.</w:t>
            </w:r>
          </w:p>
        </w:tc>
      </w:tr>
      <w:tr>
        <w:trPr>
          <w:trHeight w:hRule="exact" w:val="180"/>
        </w:trPr>
        <w:tc>
          <w:tcPr>
            <w:tcW w:type="dxa" w:w="1878"/>
            <w:vMerge/>
            <w:tcBorders>
              <w:top w:sz="4.679999828338623" w:val="single" w:color="#000000"/>
            </w:tcBorders>
          </w:tcPr>
          <w:p/>
        </w:tc>
        <w:tc>
          <w:tcPr>
            <w:tcW w:type="dxa" w:w="1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4" w:after="0"/>
              <w:ind w:left="30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manutenção,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gestão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4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obrigatórios;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de-</w:t>
            </w:r>
          </w:p>
        </w:tc>
        <w:tc>
          <w:tcPr>
            <w:tcW w:type="dxa" w:w="25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4" w:after="0"/>
              <w:ind w:left="112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dimensões.</w:t>
            </w:r>
          </w:p>
        </w:tc>
        <w:tc>
          <w:tcPr>
            <w:tcW w:type="dxa" w:w="1878"/>
            <w:vMerge/>
            <w:tcBorders/>
          </w:tcPr>
          <w:p/>
        </w:tc>
      </w:tr>
      <w:tr>
        <w:trPr>
          <w:trHeight w:hRule="exact" w:val="180"/>
        </w:trPr>
        <w:tc>
          <w:tcPr>
            <w:tcW w:type="dxa" w:w="1878"/>
            <w:vMerge/>
            <w:tcBorders>
              <w:top w:sz="4.679999828338623" w:val="single" w:color="#000000"/>
            </w:tcBorders>
          </w:tcPr>
          <w:p/>
        </w:tc>
        <w:tc>
          <w:tcPr>
            <w:tcW w:type="dxa" w:w="1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30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predial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apoio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à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3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cisão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contexto</w:t>
            </w:r>
          </w:p>
        </w:tc>
        <w:tc>
          <w:tcPr>
            <w:tcW w:type="dxa" w:w="1878"/>
            <w:vMerge/>
            <w:tcBorders/>
          </w:tcPr>
          <w:p/>
        </w:tc>
        <w:tc>
          <w:tcPr>
            <w:tcW w:type="dxa" w:w="1878"/>
            <w:vMerge/>
            <w:tcBorders/>
          </w:tcPr>
          <w:p/>
        </w:tc>
      </w:tr>
      <w:tr>
        <w:trPr>
          <w:trHeight w:hRule="exact" w:val="200"/>
        </w:trPr>
        <w:tc>
          <w:tcPr>
            <w:tcW w:type="dxa" w:w="1878"/>
            <w:vMerge/>
            <w:tcBorders>
              <w:top w:sz="4.679999828338623" w:val="single" w:color="#000000"/>
            </w:tcBorders>
          </w:tcPr>
          <w:p/>
        </w:tc>
        <w:tc>
          <w:tcPr>
            <w:tcW w:type="dxa" w:w="1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32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decisão;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elementos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32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como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caracteriza-</w:t>
            </w:r>
          </w:p>
        </w:tc>
        <w:tc>
          <w:tcPr>
            <w:tcW w:type="dxa" w:w="1878"/>
            <w:vMerge/>
            <w:tcBorders/>
          </w:tcPr>
          <w:p/>
        </w:tc>
        <w:tc>
          <w:tcPr>
            <w:tcW w:type="dxa" w:w="1878"/>
            <w:vMerge/>
            <w:tcBorders/>
          </w:tcPr>
          <w:p/>
        </w:tc>
      </w:tr>
      <w:tr>
        <w:trPr>
          <w:trHeight w:hRule="exact" w:val="196"/>
        </w:trPr>
        <w:tc>
          <w:tcPr>
            <w:tcW w:type="dxa" w:w="1878"/>
            <w:vMerge/>
            <w:tcBorders>
              <w:top w:sz="4.679999828338623" w:val="single" w:color="#000000"/>
            </w:tcBorders>
          </w:tcPr>
          <w:p/>
        </w:tc>
        <w:tc>
          <w:tcPr>
            <w:tcW w:type="dxa" w:w="1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22" w:after="0"/>
              <w:ind w:left="30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aplicáveis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à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pri-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22" w:after="0"/>
              <w:ind w:left="13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ção.</w:t>
            </w:r>
          </w:p>
        </w:tc>
        <w:tc>
          <w:tcPr>
            <w:tcW w:type="dxa" w:w="1878"/>
            <w:vMerge/>
            <w:tcBorders/>
          </w:tcPr>
          <w:p/>
        </w:tc>
        <w:tc>
          <w:tcPr>
            <w:tcW w:type="dxa" w:w="1878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78" w:lineRule="exact" w:before="0" w:after="16"/>
        <w:ind w:left="1660" w:right="6480" w:firstLine="0"/>
        <w:jc w:val="left"/>
      </w:pPr>
      <w:r>
        <w:rPr>
          <w:rFonts w:ascii="LMRoman8" w:hAnsi="LMRoman8" w:eastAsia="LMRoman8"/>
          <w:b w:val="0"/>
          <w:i w:val="0"/>
          <w:color w:val="000000"/>
          <w:sz w:val="16"/>
        </w:rPr>
        <w:t>orização</w:t>
      </w:r>
      <w:r>
        <w:rPr>
          <w:rFonts w:ascii="LMRoman8" w:hAnsi="LMRoman8" w:eastAsia="LMRoman8"/>
          <w:b w:val="0"/>
          <w:i w:val="0"/>
          <w:color w:val="000000"/>
          <w:sz w:val="16"/>
        </w:rPr>
        <w:t xml:space="preserve">pública </w:t>
      </w:r>
      <w:r>
        <w:br/>
      </w:r>
      <w:r>
        <w:rPr>
          <w:rFonts w:ascii="LMRoman8" w:hAnsi="LMRoman8" w:eastAsia="LMRoman8"/>
          <w:b w:val="0"/>
          <w:i w:val="0"/>
          <w:color w:val="000000"/>
          <w:sz w:val="16"/>
        </w:rPr>
        <w:t>universitária.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0.0" w:type="dxa"/>
      </w:tblPr>
      <w:tblGrid>
        <w:gridCol w:w="1878"/>
        <w:gridCol w:w="1878"/>
        <w:gridCol w:w="1878"/>
        <w:gridCol w:w="1878"/>
        <w:gridCol w:w="1878"/>
      </w:tblGrid>
      <w:tr>
        <w:trPr>
          <w:trHeight w:hRule="exact" w:val="164"/>
        </w:trPr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4" w:after="0"/>
              <w:ind w:left="20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RQ1</w:t>
            </w:r>
          </w:p>
        </w:tc>
        <w:tc>
          <w:tcPr>
            <w:tcW w:type="dxa" w:w="2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4" w:after="0"/>
              <w:ind w:left="48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Dimensões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sus-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4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Sustentabilidade</w:t>
            </w:r>
          </w:p>
        </w:tc>
        <w:tc>
          <w:tcPr>
            <w:tcW w:type="dxa" w:w="2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4" w:after="0"/>
              <w:ind w:left="0" w:right="0" w:firstLine="0"/>
              <w:jc w:val="center"/>
            </w:pPr>
            <w:r>
              <w:rPr>
                <w:rFonts w:ascii="LMMono8" w:hAnsi="LMMono8" w:eastAsia="LMMono8"/>
                <w:b w:val="0"/>
                <w:i w:val="0"/>
                <w:color w:val="000000"/>
                <w:sz w:val="16"/>
              </w:rPr>
              <w:t>dimensoes_sustentabilidade_</w:t>
            </w:r>
          </w:p>
        </w:tc>
        <w:tc>
          <w:tcPr>
            <w:tcW w:type="dxa" w:w="18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4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Seção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6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Gráfico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7.</w:t>
            </w:r>
          </w:p>
        </w:tc>
      </w:tr>
      <w:tr>
        <w:trPr>
          <w:trHeight w:hRule="exact" w:val="218"/>
        </w:trPr>
        <w:tc>
          <w:tcPr>
            <w:tcW w:type="dxa" w:w="1878"/>
            <w:vMerge/>
            <w:tcBorders/>
          </w:tcPr>
          <w:p/>
        </w:tc>
        <w:tc>
          <w:tcPr>
            <w:tcW w:type="dxa" w:w="2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38" w:after="0"/>
              <w:ind w:left="48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tentabilidade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identi-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40" w:after="0"/>
              <w:ind w:left="13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obrigatória.</w:t>
            </w:r>
          </w:p>
        </w:tc>
        <w:tc>
          <w:tcPr>
            <w:tcW w:type="dxa" w:w="2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40" w:after="0"/>
              <w:ind w:left="152" w:right="0" w:firstLine="0"/>
              <w:jc w:val="left"/>
            </w:pPr>
            <w:r>
              <w:rPr>
                <w:rFonts w:ascii="LMMono8" w:hAnsi="LMMono8" w:eastAsia="LMMono8"/>
                <w:b w:val="0"/>
                <w:i w:val="0"/>
                <w:color w:val="000000"/>
                <w:sz w:val="16"/>
              </w:rPr>
              <w:t>identificadas_leitura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.</w:t>
            </w:r>
          </w:p>
        </w:tc>
        <w:tc>
          <w:tcPr>
            <w:tcW w:type="dxa" w:w="1878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58" w:lineRule="exact" w:before="12" w:after="14"/>
        <w:ind w:left="1660" w:right="0" w:firstLine="0"/>
        <w:jc w:val="left"/>
      </w:pPr>
      <w:r>
        <w:rPr>
          <w:rFonts w:ascii="LMRoman8" w:hAnsi="LMRoman8" w:eastAsia="LMRoman8"/>
          <w:b w:val="0"/>
          <w:i w:val="0"/>
          <w:color w:val="000000"/>
          <w:sz w:val="16"/>
        </w:rPr>
        <w:t>ficadas.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0.0" w:type="dxa"/>
      </w:tblPr>
      <w:tblGrid>
        <w:gridCol w:w="1878"/>
        <w:gridCol w:w="1878"/>
        <w:gridCol w:w="1878"/>
        <w:gridCol w:w="1878"/>
        <w:gridCol w:w="1878"/>
      </w:tblGrid>
      <w:tr>
        <w:trPr>
          <w:trHeight w:hRule="exact" w:val="178"/>
        </w:trPr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6" w:after="0"/>
              <w:ind w:left="20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RQ2</w:t>
            </w:r>
          </w:p>
        </w:tc>
        <w:tc>
          <w:tcPr>
            <w:tcW w:type="dxa" w:w="2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6" w:after="0"/>
              <w:ind w:left="48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Critérios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prioriza-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6" w:after="0"/>
              <w:ind w:left="11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Decisão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pri-</w:t>
            </w:r>
          </w:p>
        </w:tc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8" w:after="0"/>
              <w:ind w:left="0" w:right="0" w:firstLine="0"/>
              <w:jc w:val="center"/>
            </w:pPr>
            <w:r>
              <w:rPr>
                <w:rFonts w:ascii="LMMono8" w:hAnsi="LMMono8" w:eastAsia="LMMono8"/>
                <w:b w:val="0"/>
                <w:i w:val="0"/>
                <w:color w:val="000000"/>
                <w:sz w:val="16"/>
              </w:rPr>
              <w:t>criterios_identificados_</w:t>
            </w:r>
          </w:p>
        </w:tc>
        <w:tc>
          <w:tcPr>
            <w:tcW w:type="dxa" w:w="1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6" w:after="0"/>
              <w:ind w:left="276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Seção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6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Tabela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8.</w:t>
            </w:r>
          </w:p>
        </w:tc>
      </w:tr>
      <w:tr>
        <w:trPr>
          <w:trHeight w:hRule="exact" w:val="206"/>
        </w:trPr>
        <w:tc>
          <w:tcPr>
            <w:tcW w:type="dxa" w:w="1878"/>
            <w:vMerge/>
            <w:tcBorders/>
          </w:tcPr>
          <w:p/>
        </w:tc>
        <w:tc>
          <w:tcPr>
            <w:tcW w:type="dxa" w:w="2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28" w:after="0"/>
              <w:ind w:left="48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ção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identificados.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6" w:after="0"/>
              <w:ind w:left="11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orização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como</w:t>
            </w:r>
          </w:p>
        </w:tc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28" w:after="0"/>
              <w:ind w:left="252" w:right="0" w:firstLine="0"/>
              <w:jc w:val="left"/>
            </w:pPr>
            <w:r>
              <w:rPr>
                <w:rFonts w:ascii="LMMono8" w:hAnsi="LMMono8" w:eastAsia="LMMono8"/>
                <w:b w:val="0"/>
                <w:i w:val="0"/>
                <w:color w:val="000000"/>
                <w:sz w:val="16"/>
              </w:rPr>
              <w:t>leitura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.</w:t>
            </w:r>
          </w:p>
        </w:tc>
        <w:tc>
          <w:tcPr>
            <w:tcW w:type="dxa" w:w="1878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60" w:lineRule="exact" w:before="10" w:after="14"/>
        <w:ind w:left="0" w:right="4872" w:firstLine="0"/>
        <w:jc w:val="right"/>
      </w:pPr>
      <w:r>
        <w:rPr>
          <w:rFonts w:ascii="LMRoman8" w:hAnsi="LMRoman8" w:eastAsia="LMRoman8"/>
          <w:b w:val="0"/>
          <w:i w:val="0"/>
          <w:color w:val="000000"/>
          <w:sz w:val="16"/>
        </w:rPr>
        <w:t>caracterização.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0.0" w:type="dxa"/>
      </w:tblPr>
      <w:tblGrid>
        <w:gridCol w:w="1878"/>
        <w:gridCol w:w="1878"/>
        <w:gridCol w:w="1878"/>
        <w:gridCol w:w="1878"/>
        <w:gridCol w:w="1878"/>
      </w:tblGrid>
      <w:tr>
        <w:trPr>
          <w:trHeight w:hRule="exact" w:val="170"/>
        </w:trPr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0" w:after="0"/>
              <w:ind w:left="20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RQ3</w:t>
            </w:r>
          </w:p>
        </w:tc>
        <w:tc>
          <w:tcPr>
            <w:tcW w:type="dxa" w:w="2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8" w:after="0"/>
              <w:ind w:left="48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Métodos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apoio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8" w:after="0"/>
              <w:ind w:left="11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Método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deci-</w:t>
            </w:r>
          </w:p>
        </w:tc>
        <w:tc>
          <w:tcPr>
            <w:tcW w:type="dxa" w:w="2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0" w:after="0"/>
              <w:ind w:left="112" w:right="0" w:firstLine="0"/>
              <w:jc w:val="left"/>
            </w:pPr>
            <w:r>
              <w:rPr>
                <w:rFonts w:ascii="LMMono8" w:hAnsi="LMMono8" w:eastAsia="LMMono8"/>
                <w:b w:val="0"/>
                <w:i w:val="0"/>
                <w:color w:val="000000"/>
                <w:sz w:val="16"/>
              </w:rPr>
              <w:t>metodos_decisao_</w:t>
            </w:r>
          </w:p>
        </w:tc>
        <w:tc>
          <w:tcPr>
            <w:tcW w:type="dxa" w:w="2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0" w:after="0"/>
              <w:ind w:left="376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Seção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7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Gráfico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8.</w:t>
            </w:r>
          </w:p>
        </w:tc>
      </w:tr>
      <w:tr>
        <w:trPr>
          <w:trHeight w:hRule="exact" w:val="210"/>
        </w:trPr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414" w:after="0"/>
              <w:ind w:left="20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RQ4</w:t>
            </w:r>
          </w:p>
        </w:tc>
        <w:tc>
          <w:tcPr>
            <w:tcW w:type="dxa" w:w="2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34" w:after="0"/>
              <w:ind w:left="48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à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decisão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identifica-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34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são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como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caracte-</w:t>
            </w:r>
          </w:p>
        </w:tc>
        <w:tc>
          <w:tcPr>
            <w:tcW w:type="dxa" w:w="23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36" w:after="0"/>
              <w:ind w:left="112" w:right="0" w:firstLine="0"/>
              <w:jc w:val="left"/>
            </w:pPr>
            <w:r>
              <w:rPr>
                <w:rFonts w:ascii="LMMono8" w:hAnsi="LMMono8" w:eastAsia="LMMono8"/>
                <w:b w:val="0"/>
                <w:i w:val="0"/>
                <w:color w:val="000000"/>
                <w:sz w:val="16"/>
              </w:rPr>
              <w:t>identificados_leitura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.</w:t>
            </w:r>
          </w:p>
        </w:tc>
        <w:tc>
          <w:tcPr>
            <w:tcW w:type="dxa" w:w="20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414" w:after="0"/>
              <w:ind w:left="376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Seção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8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Tabela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9.</w:t>
            </w:r>
          </w:p>
        </w:tc>
      </w:tr>
      <w:tr>
        <w:trPr>
          <w:trHeight w:hRule="exact" w:val="102"/>
        </w:trPr>
        <w:tc>
          <w:tcPr>
            <w:tcW w:type="dxa" w:w="1878"/>
            <w:vMerge/>
            <w:tcBorders/>
          </w:tcPr>
          <w:p/>
        </w:tc>
        <w:tc>
          <w:tcPr>
            <w:tcW w:type="dxa" w:w="21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4" w:after="0"/>
              <w:ind w:left="48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dos.</w:t>
            </w:r>
          </w:p>
        </w:tc>
        <w:tc>
          <w:tcPr>
            <w:tcW w:type="dxa" w:w="15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4" w:after="0"/>
              <w:ind w:left="11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rização.</w:t>
            </w:r>
          </w:p>
        </w:tc>
        <w:tc>
          <w:tcPr>
            <w:tcW w:type="dxa" w:w="1878"/>
            <w:vMerge/>
            <w:tcBorders/>
          </w:tcPr>
          <w:p/>
        </w:tc>
        <w:tc>
          <w:tcPr>
            <w:tcW w:type="dxa" w:w="1878"/>
            <w:vMerge/>
            <w:tcBorders/>
          </w:tcPr>
          <w:p/>
        </w:tc>
      </w:tr>
      <w:tr>
        <w:trPr>
          <w:trHeight w:hRule="exact" w:val="86"/>
        </w:trPr>
        <w:tc>
          <w:tcPr>
            <w:tcW w:type="dxa" w:w="1878"/>
            <w:vMerge/>
            <w:tcBorders/>
          </w:tcPr>
          <w:p/>
        </w:tc>
        <w:tc>
          <w:tcPr>
            <w:tcW w:type="dxa" w:w="1878"/>
            <w:vMerge/>
            <w:tcBorders/>
          </w:tcPr>
          <w:p/>
        </w:tc>
        <w:tc>
          <w:tcPr>
            <w:tcW w:type="dxa" w:w="1878"/>
            <w:vMerge/>
            <w:tcBorders/>
          </w:tcPr>
          <w:p/>
        </w:tc>
        <w:tc>
          <w:tcPr>
            <w:tcW w:type="dxa" w:w="23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04" w:after="0"/>
              <w:ind w:left="112" w:right="0" w:firstLine="0"/>
              <w:jc w:val="left"/>
            </w:pPr>
            <w:r>
              <w:rPr>
                <w:rFonts w:ascii="LMMono8" w:hAnsi="LMMono8" w:eastAsia="LMMono8"/>
                <w:b w:val="0"/>
                <w:i w:val="0"/>
                <w:color w:val="000000"/>
                <w:sz w:val="16"/>
              </w:rPr>
              <w:t>contexto_edificacao_</w:t>
            </w:r>
          </w:p>
        </w:tc>
        <w:tc>
          <w:tcPr>
            <w:tcW w:type="dxa" w:w="1878"/>
            <w:vMerge/>
            <w:tcBorders/>
          </w:tcPr>
          <w:p/>
        </w:tc>
      </w:tr>
      <w:tr>
        <w:trPr>
          <w:trHeight w:hRule="exact" w:val="178"/>
        </w:trPr>
        <w:tc>
          <w:tcPr>
            <w:tcW w:type="dxa" w:w="1878"/>
            <w:vMerge/>
            <w:tcBorders/>
          </w:tcPr>
          <w:p/>
        </w:tc>
        <w:tc>
          <w:tcPr>
            <w:tcW w:type="dxa" w:w="2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6" w:after="0"/>
              <w:ind w:left="48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Contextos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edifica-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4" w:after="0"/>
              <w:ind w:left="11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Contexto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como</w:t>
            </w:r>
          </w:p>
        </w:tc>
        <w:tc>
          <w:tcPr>
            <w:tcW w:type="dxa" w:w="1878"/>
            <w:vMerge/>
            <w:tcBorders/>
          </w:tcPr>
          <w:p/>
        </w:tc>
        <w:tc>
          <w:tcPr>
            <w:tcW w:type="dxa" w:w="1878"/>
            <w:vMerge/>
            <w:tcBorders/>
          </w:tcPr>
          <w:p/>
        </w:tc>
      </w:tr>
      <w:tr>
        <w:trPr>
          <w:trHeight w:hRule="exact" w:val="206"/>
        </w:trPr>
        <w:tc>
          <w:tcPr>
            <w:tcW w:type="dxa" w:w="1878"/>
            <w:vMerge/>
            <w:tcBorders/>
          </w:tcPr>
          <w:p/>
        </w:tc>
        <w:tc>
          <w:tcPr>
            <w:tcW w:type="dxa" w:w="2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28" w:after="0"/>
              <w:ind w:left="48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ção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identificados.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6" w:after="0"/>
              <w:ind w:left="11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caracterização,</w:t>
            </w:r>
          </w:p>
        </w:tc>
        <w:tc>
          <w:tcPr>
            <w:tcW w:type="dxa" w:w="2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28" w:after="0"/>
              <w:ind w:left="112" w:right="0" w:firstLine="0"/>
              <w:jc w:val="left"/>
            </w:pPr>
            <w:r>
              <w:rPr>
                <w:rFonts w:ascii="LMMono8" w:hAnsi="LMMono8" w:eastAsia="LMMono8"/>
                <w:b w:val="0"/>
                <w:i w:val="0"/>
                <w:color w:val="000000"/>
                <w:sz w:val="16"/>
              </w:rPr>
              <w:t>identificado_leitura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.</w:t>
            </w:r>
          </w:p>
        </w:tc>
        <w:tc>
          <w:tcPr>
            <w:tcW w:type="dxa" w:w="1878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80" w:lineRule="exact" w:before="0" w:after="14"/>
        <w:ind w:left="3430" w:right="5040" w:firstLine="0"/>
        <w:jc w:val="left"/>
      </w:pPr>
      <w:r>
        <w:rPr>
          <w:rFonts w:ascii="LMRoman8" w:hAnsi="LMRoman8" w:eastAsia="LMRoman8"/>
          <w:b w:val="0"/>
          <w:i w:val="0"/>
          <w:color w:val="000000"/>
          <w:sz w:val="16"/>
        </w:rPr>
        <w:t>sem</w:t>
      </w:r>
      <w:r>
        <w:rPr>
          <w:rFonts w:ascii="LMRoman8" w:hAnsi="LMRoman8" w:eastAsia="LMRoman8"/>
          <w:b w:val="0"/>
          <w:i w:val="0"/>
          <w:color w:val="000000"/>
          <w:sz w:val="16"/>
        </w:rPr>
        <w:t xml:space="preserve">recorte </w:t>
      </w:r>
      <w:r>
        <w:br/>
      </w:r>
      <w:r>
        <w:rPr>
          <w:rFonts w:ascii="LMRoman8" w:hAnsi="LMRoman8" w:eastAsia="LMRoman8"/>
          <w:b w:val="0"/>
          <w:i w:val="0"/>
          <w:color w:val="000000"/>
          <w:sz w:val="16"/>
        </w:rPr>
        <w:t>isolado.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0.0" w:type="dxa"/>
      </w:tblPr>
      <w:tblGrid>
        <w:gridCol w:w="1878"/>
        <w:gridCol w:w="1878"/>
        <w:gridCol w:w="1878"/>
        <w:gridCol w:w="1878"/>
        <w:gridCol w:w="1878"/>
      </w:tblGrid>
      <w:tr>
        <w:trPr>
          <w:trHeight w:hRule="exact" w:val="164"/>
        </w:trPr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16" w:after="0"/>
              <w:ind w:left="20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RQ5</w:t>
            </w:r>
          </w:p>
        </w:tc>
        <w:tc>
          <w:tcPr>
            <w:tcW w:type="dxa" w:w="2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4" w:after="0"/>
              <w:ind w:left="48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Lacunas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registradas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4" w:after="0"/>
              <w:ind w:left="15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Contexto</w:t>
            </w:r>
          </w:p>
        </w:tc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6" w:after="0"/>
              <w:ind w:left="132" w:right="0" w:firstLine="0"/>
              <w:jc w:val="left"/>
            </w:pPr>
            <w:r>
              <w:rPr>
                <w:rFonts w:ascii="LMMono8" w:hAnsi="LMMono8" w:eastAsia="LMMono8"/>
                <w:b w:val="0"/>
                <w:i w:val="0"/>
                <w:color w:val="000000"/>
                <w:sz w:val="16"/>
              </w:rPr>
              <w:t>lacuna_ou_limite_</w:t>
            </w:r>
          </w:p>
        </w:tc>
        <w:tc>
          <w:tcPr>
            <w:tcW w:type="dxa" w:w="18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16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Seções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8,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11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12.</w:t>
            </w:r>
          </w:p>
        </w:tc>
      </w:tr>
      <w:tr>
        <w:trPr>
          <w:trHeight w:hRule="exact" w:val="200"/>
        </w:trPr>
        <w:tc>
          <w:tcPr>
            <w:tcW w:type="dxa" w:w="1878"/>
            <w:vMerge/>
            <w:tcBorders/>
          </w:tcPr>
          <w:p/>
        </w:tc>
        <w:tc>
          <w:tcPr>
            <w:tcW w:type="dxa" w:w="2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40" w:after="0"/>
              <w:ind w:left="48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para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instituições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40" w:after="0"/>
              <w:ind w:left="15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público/</w:t>
            </w:r>
          </w:p>
        </w:tc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32" w:after="0"/>
              <w:ind w:left="132" w:right="0" w:firstLine="0"/>
              <w:jc w:val="left"/>
            </w:pPr>
            <w:r>
              <w:rPr>
                <w:rFonts w:ascii="LMMono8" w:hAnsi="LMMono8" w:eastAsia="LMMono8"/>
                <w:b w:val="0"/>
                <w:i w:val="0"/>
                <w:color w:val="000000"/>
                <w:sz w:val="16"/>
              </w:rPr>
              <w:t>identificado_leitura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;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con-</w:t>
            </w:r>
          </w:p>
        </w:tc>
        <w:tc>
          <w:tcPr>
            <w:tcW w:type="dxa" w:w="1878"/>
            <w:vMerge/>
            <w:tcBorders/>
          </w:tcPr>
          <w:p/>
        </w:tc>
      </w:tr>
      <w:tr>
        <w:trPr>
          <w:trHeight w:hRule="exact" w:val="200"/>
        </w:trPr>
        <w:tc>
          <w:tcPr>
            <w:tcW w:type="dxa" w:w="1878"/>
            <w:vMerge/>
            <w:tcBorders/>
          </w:tcPr>
          <w:p/>
        </w:tc>
        <w:tc>
          <w:tcPr>
            <w:tcW w:type="dxa" w:w="2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8" w:after="0"/>
              <w:ind w:left="48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públicas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ensino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8" w:after="0"/>
              <w:ind w:left="15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universitário</w:t>
            </w:r>
          </w:p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30" w:after="0"/>
              <w:ind w:left="132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tribuição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artigo.</w:t>
            </w:r>
          </w:p>
        </w:tc>
        <w:tc>
          <w:tcPr>
            <w:tcW w:type="dxa" w:w="1878"/>
            <w:vMerge/>
            <w:tcBorders/>
          </w:tcPr>
          <w:p/>
        </w:tc>
      </w:tr>
      <w:tr>
        <w:trPr>
          <w:trHeight w:hRule="exact" w:val="192"/>
        </w:trPr>
        <w:tc>
          <w:tcPr>
            <w:tcW w:type="dxa" w:w="1878"/>
            <w:vMerge/>
            <w:tcBorders/>
          </w:tcPr>
          <w:p/>
        </w:tc>
        <w:tc>
          <w:tcPr>
            <w:tcW w:type="dxa" w:w="2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20" w:after="0"/>
              <w:ind w:left="48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superior.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8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como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reforço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não</w:t>
            </w:r>
          </w:p>
        </w:tc>
        <w:tc>
          <w:tcPr>
            <w:tcW w:type="dxa" w:w="1878"/>
            <w:vMerge/>
            <w:tcBorders/>
          </w:tcPr>
          <w:p/>
        </w:tc>
        <w:tc>
          <w:tcPr>
            <w:tcW w:type="dxa" w:w="1878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60" w:lineRule="exact" w:before="16" w:after="0"/>
        <w:ind w:left="0" w:right="5106" w:firstLine="0"/>
        <w:jc w:val="right"/>
      </w:pPr>
      <w:r>
        <w:rPr>
          <w:rFonts w:ascii="LMRoman8" w:hAnsi="LMRoman8" w:eastAsia="LMRoman8"/>
          <w:b w:val="0"/>
          <w:i w:val="0"/>
          <w:color w:val="000000"/>
          <w:sz w:val="16"/>
        </w:rPr>
        <w:t>obrigatório.</w:t>
      </w:r>
    </w:p>
    <w:p>
      <w:pPr>
        <w:autoSpaceDN w:val="0"/>
        <w:autoSpaceDE w:val="0"/>
        <w:widowControl/>
        <w:spacing w:line="200" w:lineRule="exact" w:before="142" w:after="0"/>
        <w:ind w:left="0" w:right="3330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Fonte: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elaborado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pelo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autor.</w:t>
      </w:r>
    </w:p>
    <w:p>
      <w:pPr>
        <w:autoSpaceDN w:val="0"/>
        <w:autoSpaceDE w:val="0"/>
        <w:widowControl/>
        <w:spacing w:line="288" w:lineRule="exact" w:before="272" w:after="0"/>
        <w:ind w:left="260" w:right="0" w:firstLine="352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busca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abrangeu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publicações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2010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2026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Scopus,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Web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Science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Crossref.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consultas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exportações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correspondentes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8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julho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2026.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Scopus,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enriquecimento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manual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realizado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julho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2026,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casamento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exportação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site,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identificou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cinco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existentes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apenas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arquivo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manual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incorporou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corpus.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Web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Science,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recontagem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do 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quarto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arquivo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corrigiu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total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502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503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registros;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tratou-se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correção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método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contagem,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novo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registro.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consultas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organizadas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quatro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eixos: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manutenção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sustentabilidade;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contexto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público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universitário;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priorização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manutenção;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gestão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ativos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ciclo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vida.</w:t>
      </w:r>
    </w:p>
    <w:p>
      <w:pPr>
        <w:autoSpaceDN w:val="0"/>
        <w:autoSpaceDE w:val="0"/>
        <w:widowControl/>
        <w:spacing w:line="288" w:lineRule="exact" w:before="2" w:after="0"/>
        <w:ind w:left="260" w:right="0" w:firstLine="352"/>
        <w:jc w:val="left"/>
      </w:pP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Na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Scopus,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quatro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expressões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booleanas,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sem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filtros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idioma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ou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tipo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documental,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fo-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ram executadas em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TITLE-ABS-KEY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, com o intervalo anual incorporado à consulta.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Quando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excedia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janela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paginação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5.000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interface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programação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aplicações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(API),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script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particionava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recuperação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subintervalos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ano.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</w:t>
      </w:r>
    </w:p>
    <w:p>
      <w:pPr>
        <w:autoSpaceDN w:val="0"/>
        <w:autoSpaceDE w:val="0"/>
        <w:widowControl/>
        <w:spacing w:line="238" w:lineRule="exact" w:before="360" w:after="0"/>
        <w:ind w:left="0" w:right="4538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5</w:t>
      </w:r>
    </w:p>
    <w:p>
      <w:pPr>
        <w:sectPr>
          <w:pgSz w:w="11906" w:h="16838"/>
          <w:pgMar w:top="876" w:right="1074" w:bottom="24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282" w:lineRule="exact" w:before="0" w:after="0"/>
        <w:ind w:left="260" w:right="60" w:hanging="1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Web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Science,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quatro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buscas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manuais,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filtros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idioma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tipo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foram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registradas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campo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(Topic)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Crossref,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cinco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consultas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textuais,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filtros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idioma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tipo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query.bibliographic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filtro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publicação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2010-01-01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2026-12-31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deliberado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consulta.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mecanismo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ordena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correspondências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relevância,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Crossref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foi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tratado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complementar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metadados,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equivalente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às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expressões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booleanas das bases bibliográficas (CROSSREF, 2026).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 Tabela 3 consolida os parâmetros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verificáveis.</w:t>
      </w:r>
    </w:p>
    <w:p>
      <w:pPr>
        <w:autoSpaceDN w:val="0"/>
        <w:autoSpaceDE w:val="0"/>
        <w:widowControl/>
        <w:spacing w:line="218" w:lineRule="exact" w:before="246" w:after="234"/>
        <w:ind w:left="2252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Tabela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3.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Estratégia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busca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documentada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por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base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1566"/>
        <w:gridCol w:w="1566"/>
        <w:gridCol w:w="1566"/>
        <w:gridCol w:w="1566"/>
        <w:gridCol w:w="1566"/>
        <w:gridCol w:w="1566"/>
      </w:tblGrid>
      <w:tr>
        <w:trPr>
          <w:trHeight w:hRule="exact" w:val="238"/>
        </w:trPr>
        <w:tc>
          <w:tcPr>
            <w:tcW w:type="dxa" w:w="1148"/>
            <w:vMerge w:val="restart"/>
            <w:tcBorders>
              <w:top w:sz="7.48799991607666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74" w:after="0"/>
              <w:ind w:left="128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Base</w:t>
            </w:r>
          </w:p>
        </w:tc>
        <w:tc>
          <w:tcPr>
            <w:tcW w:type="dxa" w:w="1540"/>
            <w:tcBorders>
              <w:top w:sz="7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68" w:after="0"/>
              <w:ind w:left="0" w:right="172" w:firstLine="0"/>
              <w:jc w:val="righ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Data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docu-</w:t>
            </w:r>
          </w:p>
        </w:tc>
        <w:tc>
          <w:tcPr>
            <w:tcW w:type="dxa" w:w="1120"/>
            <w:vMerge w:val="restart"/>
            <w:tcBorders>
              <w:top w:sz="7.48799991607666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74" w:after="0"/>
              <w:ind w:left="13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Período</w:t>
            </w:r>
          </w:p>
        </w:tc>
        <w:tc>
          <w:tcPr>
            <w:tcW w:type="dxa" w:w="1600"/>
            <w:tcBorders>
              <w:top w:sz="7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68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Campo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ou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mo-</w:t>
            </w:r>
          </w:p>
        </w:tc>
        <w:tc>
          <w:tcPr>
            <w:tcW w:type="dxa" w:w="1000"/>
            <w:vMerge w:val="restart"/>
            <w:tcBorders>
              <w:top w:sz="7.48799991607666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74" w:after="0"/>
              <w:ind w:left="212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Registros</w:t>
            </w:r>
          </w:p>
        </w:tc>
        <w:tc>
          <w:tcPr>
            <w:tcW w:type="dxa" w:w="2682"/>
            <w:vMerge w:val="restart"/>
            <w:tcBorders>
              <w:top w:sz="7.48799991607666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74" w:after="0"/>
              <w:ind w:left="132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Limites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função</w:t>
            </w:r>
          </w:p>
        </w:tc>
      </w:tr>
      <w:tr>
        <w:trPr>
          <w:trHeight w:hRule="exact" w:val="262"/>
        </w:trPr>
        <w:tc>
          <w:tcPr>
            <w:tcW w:type="dxa" w:w="1566"/>
            <w:vMerge/>
            <w:tcBorders>
              <w:top w:sz="7.48799991607666" w:val="single" w:color="#000000"/>
              <w:bottom w:sz="4.679999828338623" w:val="single" w:color="#000000"/>
            </w:tcBorders>
          </w:tcPr>
          <w:p/>
        </w:tc>
        <w:tc>
          <w:tcPr>
            <w:tcW w:type="dxa" w:w="1540"/>
            <w:tcBorders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34" w:after="0"/>
              <w:ind w:left="0" w:right="382" w:firstLine="0"/>
              <w:jc w:val="righ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mentada</w:t>
            </w:r>
          </w:p>
        </w:tc>
        <w:tc>
          <w:tcPr>
            <w:tcW w:type="dxa" w:w="1566"/>
            <w:vMerge/>
            <w:tcBorders>
              <w:top w:sz="7.48799991607666" w:val="single" w:color="#000000"/>
              <w:bottom w:sz="4.679999828338623" w:val="single" w:color="#000000"/>
            </w:tcBorders>
          </w:tcPr>
          <w:p/>
        </w:tc>
        <w:tc>
          <w:tcPr>
            <w:tcW w:type="dxa" w:w="1600"/>
            <w:tcBorders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34" w:after="0"/>
              <w:ind w:left="27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delo</w:t>
            </w:r>
          </w:p>
        </w:tc>
        <w:tc>
          <w:tcPr>
            <w:tcW w:type="dxa" w:w="1566"/>
            <w:vMerge/>
            <w:tcBorders>
              <w:top w:sz="7.48799991607666" w:val="single" w:color="#000000"/>
              <w:bottom w:sz="4.679999828338623" w:val="single" w:color="#000000"/>
            </w:tcBorders>
          </w:tcPr>
          <w:p/>
        </w:tc>
        <w:tc>
          <w:tcPr>
            <w:tcW w:type="dxa" w:w="1566"/>
            <w:vMerge/>
            <w:tcBorders>
              <w:top w:sz="7.48799991607666" w:val="single" w:color="#000000"/>
              <w:bottom w:sz="4.679999828338623" w:val="single" w:color="#000000"/>
            </w:tcBorders>
          </w:tcPr>
          <w:p/>
        </w:tc>
      </w:tr>
      <w:tr>
        <w:trPr>
          <w:trHeight w:hRule="exact" w:val="238"/>
        </w:trPr>
        <w:tc>
          <w:tcPr>
            <w:tcW w:type="dxa" w:w="1148"/>
            <w:vMerge w:val="restart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76" w:after="0"/>
              <w:ind w:left="128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Scopus</w:t>
            </w:r>
          </w:p>
        </w:tc>
        <w:tc>
          <w:tcPr>
            <w:tcW w:type="dxa" w:w="1540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70" w:after="0"/>
              <w:ind w:left="0" w:right="106" w:firstLine="0"/>
              <w:jc w:val="righ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08/07/2026;</w:t>
            </w:r>
          </w:p>
        </w:tc>
        <w:tc>
          <w:tcPr>
            <w:tcW w:type="dxa" w:w="1120"/>
            <w:vMerge w:val="restart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76" w:after="0"/>
              <w:ind w:left="13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2010–2026</w:t>
            </w:r>
          </w:p>
        </w:tc>
        <w:tc>
          <w:tcPr>
            <w:tcW w:type="dxa" w:w="1600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70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4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consultas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em</w:t>
            </w:r>
          </w:p>
        </w:tc>
        <w:tc>
          <w:tcPr>
            <w:tcW w:type="dxa" w:w="1000"/>
            <w:vMerge w:val="restart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76" w:after="0"/>
              <w:ind w:left="0" w:right="108" w:firstLine="0"/>
              <w:jc w:val="righ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9.438</w:t>
            </w:r>
          </w:p>
        </w:tc>
        <w:tc>
          <w:tcPr>
            <w:tcW w:type="dxa" w:w="2682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70" w:after="0"/>
              <w:ind w:left="132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Base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principal;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9.433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da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API</w:t>
            </w:r>
          </w:p>
        </w:tc>
      </w:tr>
      <w:tr>
        <w:trPr>
          <w:trHeight w:hRule="exact" w:val="200"/>
        </w:trPr>
        <w:tc>
          <w:tcPr>
            <w:tcW w:type="dxa" w:w="1566"/>
            <w:vMerge/>
            <w:tcBorders>
              <w:top w:sz="4.679999828338623" w:val="single" w:color="#000000"/>
            </w:tcBorders>
          </w:tcPr>
          <w:p/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32" w:after="0"/>
              <w:ind w:left="0" w:right="282" w:firstLine="0"/>
              <w:jc w:val="righ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enriqueci-</w:t>
            </w:r>
          </w:p>
        </w:tc>
        <w:tc>
          <w:tcPr>
            <w:tcW w:type="dxa" w:w="1566"/>
            <w:vMerge/>
            <w:tcBorders>
              <w:top w:sz="4.679999828338623" w:val="single" w:color="#000000"/>
            </w:tcBorders>
          </w:tcPr>
          <w:p/>
        </w:tc>
        <w:tc>
          <w:tcPr>
            <w:tcW w:type="dxa" w:w="1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40" w:after="0"/>
              <w:ind w:left="0" w:right="0" w:firstLine="0"/>
              <w:jc w:val="center"/>
            </w:pPr>
            <w:r>
              <w:rPr>
                <w:rFonts w:ascii="LMMono8" w:hAnsi="LMMono8" w:eastAsia="LMMono8"/>
                <w:b w:val="0"/>
                <w:i w:val="0"/>
                <w:color w:val="000000"/>
                <w:sz w:val="16"/>
              </w:rPr>
              <w:t>TITLE-ABS-KEY</w:t>
            </w:r>
          </w:p>
        </w:tc>
        <w:tc>
          <w:tcPr>
            <w:tcW w:type="dxa" w:w="1566"/>
            <w:vMerge/>
            <w:tcBorders>
              <w:top w:sz="4.679999828338623" w:val="single" w:color="#000000"/>
            </w:tcBorders>
          </w:tcPr>
          <w:p/>
        </w:tc>
        <w:tc>
          <w:tcPr>
            <w:tcW w:type="dxa" w:w="26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32" w:after="0"/>
              <w:ind w:left="132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cinco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exclusivos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export</w:t>
            </w:r>
          </w:p>
        </w:tc>
      </w:tr>
      <w:tr>
        <w:trPr>
          <w:trHeight w:hRule="exact" w:val="198"/>
        </w:trPr>
        <w:tc>
          <w:tcPr>
            <w:tcW w:type="dxa" w:w="1566"/>
            <w:vMerge/>
            <w:tcBorders>
              <w:top w:sz="4.679999828338623" w:val="single" w:color="#000000"/>
            </w:tcBorders>
          </w:tcPr>
          <w:p/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0" w:after="0"/>
              <w:ind w:left="0" w:right="274" w:firstLine="0"/>
              <w:jc w:val="righ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mento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em</w:t>
            </w:r>
          </w:p>
        </w:tc>
        <w:tc>
          <w:tcPr>
            <w:tcW w:type="dxa" w:w="1566"/>
            <w:vMerge/>
            <w:tcBorders>
              <w:top w:sz="4.679999828338623" w:val="single" w:color="#000000"/>
            </w:tcBorders>
          </w:tcPr>
          <w:p/>
        </w:tc>
        <w:tc>
          <w:tcPr>
            <w:tcW w:type="dxa" w:w="1566"/>
            <w:vMerge/>
            <w:tcBorders/>
          </w:tcPr>
          <w:p/>
        </w:tc>
        <w:tc>
          <w:tcPr>
            <w:tcW w:type="dxa" w:w="1566"/>
            <w:vMerge/>
            <w:tcBorders>
              <w:top w:sz="4.679999828338623" w:val="single" w:color="#000000"/>
            </w:tcBorders>
          </w:tcPr>
          <w:p/>
        </w:tc>
        <w:tc>
          <w:tcPr>
            <w:tcW w:type="dxa" w:w="26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22" w:after="0"/>
              <w:ind w:left="132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manual.</w:t>
            </w:r>
          </w:p>
        </w:tc>
      </w:tr>
    </w:tbl>
    <w:p>
      <w:pPr>
        <w:autoSpaceDN w:val="0"/>
        <w:autoSpaceDE w:val="0"/>
        <w:widowControl/>
        <w:spacing w:line="158" w:lineRule="exact" w:before="4" w:after="14"/>
        <w:ind w:left="1924" w:right="0" w:firstLine="0"/>
        <w:jc w:val="left"/>
      </w:pPr>
      <w:r>
        <w:rPr>
          <w:rFonts w:ascii="LMRoman8" w:hAnsi="LMRoman8" w:eastAsia="LMRoman8"/>
          <w:b w:val="0"/>
          <w:i w:val="0"/>
          <w:color w:val="000000"/>
          <w:sz w:val="16"/>
        </w:rPr>
        <w:t>09/07/2026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1566"/>
        <w:gridCol w:w="1566"/>
        <w:gridCol w:w="1566"/>
        <w:gridCol w:w="1566"/>
        <w:gridCol w:w="1566"/>
        <w:gridCol w:w="1566"/>
      </w:tblGrid>
      <w:tr>
        <w:trPr>
          <w:trHeight w:hRule="exact" w:val="176"/>
        </w:trPr>
        <w:tc>
          <w:tcPr>
            <w:tcW w:type="dxa" w:w="15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6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Web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of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Science</w:t>
            </w:r>
          </w:p>
        </w:tc>
        <w:tc>
          <w:tcPr>
            <w:tcW w:type="dxa" w:w="12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6" w:after="0"/>
              <w:ind w:left="224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08/07/2026</w:t>
            </w:r>
          </w:p>
        </w:tc>
        <w:tc>
          <w:tcPr>
            <w:tcW w:type="dxa" w:w="11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6" w:after="0"/>
              <w:ind w:left="168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2010–2026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6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4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buscas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manuais</w:t>
            </w:r>
          </w:p>
        </w:tc>
        <w:tc>
          <w:tcPr>
            <w:tcW w:type="dxa" w:w="7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6" w:after="0"/>
              <w:ind w:left="0" w:right="108" w:firstLine="0"/>
              <w:jc w:val="righ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1.680</w:t>
            </w:r>
          </w:p>
        </w:tc>
        <w:tc>
          <w:tcPr>
            <w:tcW w:type="dxa" w:w="2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6" w:after="0"/>
              <w:ind w:left="132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Base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independente;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A4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recon-</w:t>
            </w:r>
          </w:p>
        </w:tc>
      </w:tr>
      <w:tr>
        <w:trPr>
          <w:trHeight w:hRule="exact" w:val="208"/>
        </w:trPr>
        <w:tc>
          <w:tcPr>
            <w:tcW w:type="dxa" w:w="1566"/>
            <w:vMerge/>
            <w:tcBorders/>
          </w:tcPr>
          <w:p/>
        </w:tc>
        <w:tc>
          <w:tcPr>
            <w:tcW w:type="dxa" w:w="1566"/>
            <w:vMerge/>
            <w:tcBorders/>
          </w:tcPr>
          <w:p/>
        </w:tc>
        <w:tc>
          <w:tcPr>
            <w:tcW w:type="dxa" w:w="1566"/>
            <w:vMerge/>
            <w:tcBorders/>
          </w:tcPr>
          <w:p/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30" w:after="0"/>
              <w:ind w:left="25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em</w:t>
            </w:r>
            <w:r>
              <w:rPr>
                <w:rFonts w:ascii="LMMono8" w:hAnsi="LMMono8" w:eastAsia="LMMono8"/>
                <w:b w:val="0"/>
                <w:i w:val="0"/>
                <w:color w:val="000000"/>
                <w:sz w:val="16"/>
              </w:rPr>
              <w:t>TS</w:t>
            </w:r>
            <w:r>
              <w:rPr>
                <w:rFonts w:ascii="LMMono8" w:hAnsi="LMMono8" w:eastAsia="LMMono8"/>
                <w:b w:val="0"/>
                <w:i w:val="0"/>
                <w:color w:val="000000"/>
                <w:sz w:val="16"/>
              </w:rPr>
              <w:t>(Topic)</w:t>
            </w:r>
          </w:p>
        </w:tc>
        <w:tc>
          <w:tcPr>
            <w:tcW w:type="dxa" w:w="1566"/>
            <w:vMerge/>
            <w:tcBorders/>
          </w:tcPr>
          <w:p/>
        </w:tc>
        <w:tc>
          <w:tcPr>
            <w:tcW w:type="dxa" w:w="2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8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tado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em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503;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associação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A1–A4</w:t>
            </w:r>
          </w:p>
        </w:tc>
      </w:tr>
    </w:tbl>
    <w:p>
      <w:pPr>
        <w:autoSpaceDN w:val="0"/>
        <w:autoSpaceDE w:val="0"/>
        <w:widowControl/>
        <w:spacing w:line="158" w:lineRule="exact" w:before="12" w:after="14"/>
        <w:ind w:left="0" w:right="260" w:firstLine="0"/>
        <w:jc w:val="right"/>
      </w:pPr>
      <w:r>
        <w:rPr>
          <w:rFonts w:ascii="LMRoman8" w:hAnsi="LMRoman8" w:eastAsia="LMRoman8"/>
          <w:b w:val="0"/>
          <w:i w:val="0"/>
          <w:color w:val="000000"/>
          <w:sz w:val="16"/>
        </w:rPr>
        <w:t>aos</w:t>
      </w:r>
      <w:r>
        <w:rPr>
          <w:rFonts w:ascii="LMRoman8" w:hAnsi="LMRoman8" w:eastAsia="LMRoman8"/>
          <w:b w:val="0"/>
          <w:i w:val="0"/>
          <w:color w:val="000000"/>
          <w:sz w:val="16"/>
        </w:rPr>
        <w:t>RIS</w:t>
      </w:r>
      <w:r>
        <w:rPr>
          <w:rFonts w:ascii="LMRoman8" w:hAnsi="LMRoman8" w:eastAsia="LMRoman8"/>
          <w:b w:val="0"/>
          <w:i w:val="0"/>
          <w:color w:val="000000"/>
          <w:sz w:val="16"/>
        </w:rPr>
        <w:t>informada</w:t>
      </w:r>
      <w:r>
        <w:rPr>
          <w:rFonts w:ascii="LMRoman8" w:hAnsi="LMRoman8" w:eastAsia="LMRoman8"/>
          <w:b w:val="0"/>
          <w:i w:val="0"/>
          <w:color w:val="000000"/>
          <w:sz w:val="16"/>
        </w:rPr>
        <w:t>de</w:t>
      </w:r>
      <w:r>
        <w:rPr>
          <w:rFonts w:ascii="LMRoman8" w:hAnsi="LMRoman8" w:eastAsia="LMRoman8"/>
          <w:b w:val="0"/>
          <w:i w:val="0"/>
          <w:color w:val="000000"/>
          <w:sz w:val="16"/>
        </w:rPr>
        <w:t>memória.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4.00000000000006" w:type="dxa"/>
      </w:tblPr>
      <w:tblGrid>
        <w:gridCol w:w="1566"/>
        <w:gridCol w:w="1566"/>
        <w:gridCol w:w="1566"/>
        <w:gridCol w:w="1566"/>
        <w:gridCol w:w="1566"/>
        <w:gridCol w:w="1566"/>
      </w:tblGrid>
      <w:tr>
        <w:trPr>
          <w:trHeight w:hRule="exact" w:val="188"/>
        </w:trPr>
        <w:tc>
          <w:tcPr>
            <w:tcW w:type="dxa" w:w="1186"/>
            <w:vMerge w:val="restart"/>
            <w:tcBorders>
              <w:bottom w:sz="4.67999982833862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6" w:after="0"/>
              <w:ind w:left="126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Crossref</w:t>
            </w:r>
          </w:p>
        </w:tc>
        <w:tc>
          <w:tcPr>
            <w:tcW w:type="dxa" w:w="1460"/>
            <w:vMerge w:val="restart"/>
            <w:tcBorders>
              <w:bottom w:sz="4.67999982833862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6" w:after="0"/>
              <w:ind w:left="0" w:right="130" w:firstLine="0"/>
              <w:jc w:val="righ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08/07/2026</w:t>
            </w:r>
          </w:p>
        </w:tc>
        <w:tc>
          <w:tcPr>
            <w:tcW w:type="dxa" w:w="1160"/>
            <w:vMerge w:val="restart"/>
            <w:tcBorders>
              <w:bottom w:sz="4.67999982833862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6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2010–2026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6" w:after="0"/>
              <w:ind w:left="27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5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consultas</w:t>
            </w:r>
          </w:p>
        </w:tc>
        <w:tc>
          <w:tcPr>
            <w:tcW w:type="dxa" w:w="920"/>
            <w:vMerge w:val="restart"/>
            <w:tcBorders>
              <w:bottom w:sz="4.67999982833862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6" w:after="0"/>
              <w:ind w:left="0" w:right="108" w:firstLine="0"/>
              <w:jc w:val="righ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1.000</w:t>
            </w:r>
          </w:p>
        </w:tc>
        <w:tc>
          <w:tcPr>
            <w:tcW w:type="dxa" w:w="267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6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Fonte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complementar;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200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resul-</w:t>
            </w:r>
          </w:p>
        </w:tc>
      </w:tr>
      <w:tr>
        <w:trPr>
          <w:trHeight w:hRule="exact" w:val="180"/>
        </w:trPr>
        <w:tc>
          <w:tcPr>
            <w:tcW w:type="dxa" w:w="1566"/>
            <w:vMerge/>
            <w:tcBorders>
              <w:bottom w:sz="4.679999828338623" w:val="single" w:color="#000000"/>
            </w:tcBorders>
          </w:tcPr>
          <w:p/>
        </w:tc>
        <w:tc>
          <w:tcPr>
            <w:tcW w:type="dxa" w:w="1566"/>
            <w:vMerge/>
            <w:tcBorders>
              <w:bottom w:sz="4.679999828338623" w:val="single" w:color="#000000"/>
            </w:tcBorders>
          </w:tcPr>
          <w:p/>
        </w:tc>
        <w:tc>
          <w:tcPr>
            <w:tcW w:type="dxa" w:w="1566"/>
            <w:vMerge/>
            <w:tcBorders>
              <w:bottom w:sz="4.679999828338623" w:val="single" w:color="#000000"/>
            </w:tcBorders>
          </w:tcPr>
          <w:p/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10" w:after="0"/>
              <w:ind w:left="27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em</w:t>
            </w:r>
            <w:r>
              <w:rPr>
                <w:rFonts w:ascii="LMMono8" w:hAnsi="LMMono8" w:eastAsia="LMMono8"/>
                <w:b w:val="0"/>
                <w:i w:val="0"/>
                <w:color w:val="000000"/>
                <w:sz w:val="16"/>
              </w:rPr>
              <w:t>query.</w:t>
            </w:r>
          </w:p>
        </w:tc>
        <w:tc>
          <w:tcPr>
            <w:tcW w:type="dxa" w:w="1566"/>
            <w:vMerge/>
            <w:tcBorders>
              <w:bottom w:sz="4.679999828338623" w:val="single" w:color="#000000"/>
            </w:tcBorders>
          </w:tcPr>
          <w:p/>
        </w:tc>
        <w:tc>
          <w:tcPr>
            <w:tcW w:type="dxa" w:w="267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6" w:after="0"/>
              <w:ind w:left="132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tados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por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consulta,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ordenados</w:t>
            </w:r>
          </w:p>
        </w:tc>
      </w:tr>
      <w:tr>
        <w:trPr>
          <w:trHeight w:hRule="exact" w:val="256"/>
        </w:trPr>
        <w:tc>
          <w:tcPr>
            <w:tcW w:type="dxa" w:w="1566"/>
            <w:vMerge/>
            <w:tcBorders>
              <w:bottom w:sz="4.679999828338623" w:val="single" w:color="#000000"/>
            </w:tcBorders>
          </w:tcPr>
          <w:p/>
        </w:tc>
        <w:tc>
          <w:tcPr>
            <w:tcW w:type="dxa" w:w="1566"/>
            <w:vMerge/>
            <w:tcBorders>
              <w:bottom w:sz="4.679999828338623" w:val="single" w:color="#000000"/>
            </w:tcBorders>
          </w:tcPr>
          <w:p/>
        </w:tc>
        <w:tc>
          <w:tcPr>
            <w:tcW w:type="dxa" w:w="1566"/>
            <w:vMerge/>
            <w:tcBorders>
              <w:bottom w:sz="4.679999828338623" w:val="single" w:color="#000000"/>
            </w:tcBorders>
          </w:tcPr>
          <w:p/>
        </w:tc>
        <w:tc>
          <w:tcPr>
            <w:tcW w:type="dxa" w:w="1680"/>
            <w:tcBorders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36" w:after="0"/>
              <w:ind w:left="0" w:right="0" w:firstLine="0"/>
              <w:jc w:val="center"/>
            </w:pPr>
            <w:r>
              <w:rPr>
                <w:rFonts w:ascii="LMMono8" w:hAnsi="LMMono8" w:eastAsia="LMMono8"/>
                <w:b w:val="0"/>
                <w:i w:val="0"/>
                <w:color w:val="000000"/>
                <w:sz w:val="16"/>
              </w:rPr>
              <w:t>bibliographic</w:t>
            </w:r>
          </w:p>
        </w:tc>
        <w:tc>
          <w:tcPr>
            <w:tcW w:type="dxa" w:w="1566"/>
            <w:vMerge/>
            <w:tcBorders>
              <w:bottom w:sz="4.679999828338623" w:val="single" w:color="#000000"/>
            </w:tcBorders>
          </w:tcPr>
          <w:p/>
        </w:tc>
        <w:tc>
          <w:tcPr>
            <w:tcW w:type="dxa" w:w="2678"/>
            <w:tcBorders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28" w:after="0"/>
              <w:ind w:left="132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por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relevância.</w:t>
            </w:r>
          </w:p>
        </w:tc>
      </w:tr>
      <w:tr>
        <w:trPr>
          <w:trHeight w:hRule="exact" w:val="312"/>
        </w:trPr>
        <w:tc>
          <w:tcPr>
            <w:tcW w:type="dxa" w:w="1186"/>
            <w:tcBorders>
              <w:top w:sz="4.679999828338623" w:val="single" w:color="#000000"/>
              <w:bottom w:sz="7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74" w:after="0"/>
              <w:ind w:left="126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Total</w:t>
            </w:r>
          </w:p>
        </w:tc>
        <w:tc>
          <w:tcPr>
            <w:tcW w:type="dxa" w:w="1460"/>
            <w:tcBorders>
              <w:top w:sz="4.679999828338623" w:val="single" w:color="#000000"/>
              <w:bottom w:sz="7.4879999160766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60"/>
            <w:tcBorders>
              <w:top w:sz="4.679999828338623" w:val="single" w:color="#000000"/>
              <w:bottom w:sz="7.4879999160766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80"/>
            <w:tcBorders>
              <w:top w:sz="4.679999828338623" w:val="single" w:color="#000000"/>
              <w:bottom w:sz="7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74" w:after="0"/>
              <w:ind w:left="268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13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consultas</w:t>
            </w:r>
          </w:p>
        </w:tc>
        <w:tc>
          <w:tcPr>
            <w:tcW w:type="dxa" w:w="920"/>
            <w:tcBorders>
              <w:top w:sz="4.679999828338623" w:val="single" w:color="#000000"/>
              <w:bottom w:sz="7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74" w:after="0"/>
              <w:ind w:left="0" w:right="108" w:firstLine="0"/>
              <w:jc w:val="righ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12.118</w:t>
            </w:r>
          </w:p>
        </w:tc>
        <w:tc>
          <w:tcPr>
            <w:tcW w:type="dxa" w:w="2678"/>
            <w:tcBorders>
              <w:top w:sz="4.679999828338623" w:val="single" w:color="#000000"/>
              <w:bottom w:sz="7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74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Volume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anterior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à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deduplicação.</w:t>
            </w:r>
          </w:p>
        </w:tc>
      </w:tr>
    </w:tbl>
    <w:p>
      <w:pPr>
        <w:autoSpaceDN w:val="0"/>
        <w:autoSpaceDE w:val="0"/>
        <w:widowControl/>
        <w:spacing w:line="200" w:lineRule="exact" w:before="70" w:after="0"/>
        <w:ind w:left="0" w:right="3336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Fonte: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elaborado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pelo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autor.</w:t>
      </w:r>
    </w:p>
    <w:p>
      <w:pPr>
        <w:autoSpaceDN w:val="0"/>
        <w:autoSpaceDE w:val="0"/>
        <w:widowControl/>
        <w:spacing w:line="288" w:lineRule="exact" w:before="328" w:after="0"/>
        <w:ind w:left="260" w:right="0" w:firstLine="352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quatro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expressões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Scopus,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quatro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Web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Science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cinco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consultas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Crossref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foram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preservadas.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Web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Science,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associação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individual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entre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arquivo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A1–A4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informada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memória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pesquisador,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não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reconstruída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partir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contemporâneo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busca.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exportações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ocorreram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mesmas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consultas.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aplicados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filtros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idioma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tipo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documental.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houve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busca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piloto,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estudos-semente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pré-registro.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protocolo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matriz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conceitual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elaborados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coleta.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marco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inicial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2010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adotado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para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mapear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desenvolvimento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início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década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2010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até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busca,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preservando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janela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temporal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contemporânea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às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três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fontes.</w:t>
      </w:r>
    </w:p>
    <w:p>
      <w:pPr>
        <w:autoSpaceDN w:val="0"/>
        <w:autoSpaceDE w:val="0"/>
        <w:widowControl/>
        <w:spacing w:line="288" w:lineRule="exact" w:before="2" w:after="0"/>
        <w:ind w:left="252" w:right="56" w:firstLine="35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critérios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seleção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combinaram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aderência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ambiente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construído,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manutenção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gestão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sustentabilidade.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Métodos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decisão,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contexto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público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universitário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tipologia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edificação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tratados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campos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caracterização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analítica.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Tabela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sintetiza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regras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aplicadas.</w:t>
      </w:r>
    </w:p>
    <w:p>
      <w:pPr>
        <w:autoSpaceDN w:val="0"/>
        <w:tabs>
          <w:tab w:pos="996" w:val="left"/>
        </w:tabs>
        <w:autoSpaceDE w:val="0"/>
        <w:widowControl/>
        <w:spacing w:line="286" w:lineRule="exact" w:before="418" w:after="0"/>
        <w:ind w:left="260" w:right="0" w:firstLine="0"/>
        <w:jc w:val="left"/>
      </w:pP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 xml:space="preserve">3.2 </w:t>
      </w:r>
      <w:r>
        <w:tab/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Deduplicação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e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preservação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da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proveniência</w:t>
      </w:r>
    </w:p>
    <w:p>
      <w:pPr>
        <w:autoSpaceDN w:val="0"/>
        <w:autoSpaceDE w:val="0"/>
        <w:widowControl/>
        <w:spacing w:line="288" w:lineRule="exact" w:before="146" w:after="0"/>
        <w:ind w:left="260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deduplicação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após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padronização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metadados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três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fontes.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convertido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minúsculas,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remoção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prefixos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URL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</w:t>
      </w:r>
      <w:r>
        <w:rPr>
          <w:rFonts w:ascii="LMMono12" w:hAnsi="LMMono12" w:eastAsia="LMMono12"/>
          <w:b w:val="0"/>
          <w:i w:val="0"/>
          <w:color w:val="000000"/>
          <w:sz w:val="24"/>
        </w:rPr>
        <w:t>doi: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espaços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final.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título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convertido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minúsculas,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decomposto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remoção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acentos,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privado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pontuação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normalizado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quanto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espaços;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títulos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menos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oito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caracteres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agrupamento.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Essa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preparação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adaptada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problemas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interoperabilidade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Rathbone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(2015),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incluindo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variações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pontuação,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acentuação,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abreviação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completude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campos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bibliográficos;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adotou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algoritmo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SRA-DM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descrito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autores.</w:t>
      </w:r>
    </w:p>
    <w:p>
      <w:pPr>
        <w:autoSpaceDN w:val="0"/>
        <w:tabs>
          <w:tab w:pos="612" w:val="left"/>
        </w:tabs>
        <w:autoSpaceDE w:val="0"/>
        <w:widowControl/>
        <w:spacing w:line="288" w:lineRule="exact" w:before="0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Registros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mesmo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normalizado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agrupados.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ausência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DOI,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títulos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normalizados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idênticos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agrupados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havia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conflito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</w:t>
      </w:r>
    </w:p>
    <w:p>
      <w:pPr>
        <w:autoSpaceDN w:val="0"/>
        <w:autoSpaceDE w:val="0"/>
        <w:widowControl/>
        <w:spacing w:line="238" w:lineRule="exact" w:before="478" w:after="0"/>
        <w:ind w:left="0" w:right="454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6</w:t>
      </w:r>
    </w:p>
    <w:p>
      <w:pPr>
        <w:sectPr>
          <w:pgSz w:w="11906" w:h="16838"/>
          <w:pgMar w:top="876" w:right="1068" w:bottom="24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40"/>
        <w:ind w:left="0" w:right="0"/>
      </w:pPr>
    </w:p>
    <w:p>
      <w:pPr>
        <w:autoSpaceDN w:val="0"/>
        <w:autoSpaceDE w:val="0"/>
        <w:widowControl/>
        <w:spacing w:line="218" w:lineRule="exact" w:before="0" w:after="232"/>
        <w:ind w:left="2086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Tabela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4.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Critérios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seleção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caracterização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corpus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3129"/>
        <w:gridCol w:w="3129"/>
        <w:gridCol w:w="3129"/>
      </w:tblGrid>
      <w:tr>
        <w:trPr>
          <w:trHeight w:hRule="exact" w:val="362"/>
        </w:trPr>
        <w:tc>
          <w:tcPr>
            <w:tcW w:type="dxa" w:w="1828"/>
            <w:tcBorders>
              <w:top w:sz="7.48799991607666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8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Critério</w:t>
            </w:r>
          </w:p>
        </w:tc>
        <w:tc>
          <w:tcPr>
            <w:tcW w:type="dxa" w:w="1760"/>
            <w:tcBorders>
              <w:top w:sz="7.48799991607666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Aplicação</w:t>
            </w:r>
          </w:p>
        </w:tc>
        <w:tc>
          <w:tcPr>
            <w:tcW w:type="dxa" w:w="5502"/>
            <w:tcBorders>
              <w:top w:sz="7.48799991607666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8" w:after="0"/>
              <w:ind w:left="47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Descrição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operacional</w:t>
            </w:r>
          </w:p>
        </w:tc>
      </w:tr>
      <w:tr>
        <w:trPr>
          <w:trHeight w:hRule="exact" w:val="306"/>
        </w:trPr>
        <w:tc>
          <w:tcPr>
            <w:tcW w:type="dxa" w:w="1828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0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Objeto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predial</w:t>
            </w:r>
          </w:p>
        </w:tc>
        <w:tc>
          <w:tcPr>
            <w:tcW w:type="dxa" w:w="1760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0" w:after="0"/>
              <w:ind w:left="0" w:right="57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Inclusão</w:t>
            </w:r>
          </w:p>
        </w:tc>
        <w:tc>
          <w:tcPr>
            <w:tcW w:type="dxa" w:w="5502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8" w:after="0"/>
              <w:ind w:left="47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Manutenção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predial,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gestão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facilidades,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gestão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</w:t>
            </w:r>
          </w:p>
        </w:tc>
      </w:tr>
    </w:tbl>
    <w:p>
      <w:pPr>
        <w:autoSpaceDN w:val="0"/>
        <w:autoSpaceDE w:val="0"/>
        <w:widowControl/>
        <w:spacing w:line="200" w:lineRule="exact" w:before="8" w:after="18"/>
        <w:ind w:left="0" w:right="1310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ativos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construídos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ou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operação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edifícios.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3129"/>
        <w:gridCol w:w="3129"/>
        <w:gridCol w:w="3129"/>
      </w:tblGrid>
      <w:tr>
        <w:trPr>
          <w:trHeight w:hRule="exact" w:val="240"/>
        </w:trPr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2" w:after="0"/>
              <w:ind w:left="2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Sustentabilidade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2" w:after="0"/>
              <w:ind w:left="36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Inclusão</w:t>
            </w:r>
          </w:p>
        </w:tc>
        <w:tc>
          <w:tcPr>
            <w:tcW w:type="dxa" w:w="5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0" w:after="0"/>
              <w:ind w:left="53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Desempenho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ambiental,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ciclo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vida,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energia,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critérios</w:t>
            </w:r>
          </w:p>
        </w:tc>
      </w:tr>
    </w:tbl>
    <w:p>
      <w:pPr>
        <w:autoSpaceDN w:val="0"/>
        <w:autoSpaceDE w:val="0"/>
        <w:widowControl/>
        <w:spacing w:line="200" w:lineRule="exact" w:before="20" w:after="20"/>
        <w:ind w:left="0" w:right="1048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econômicos,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sociais,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técnicos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ou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institucionais.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3129"/>
        <w:gridCol w:w="3129"/>
        <w:gridCol w:w="3129"/>
      </w:tblGrid>
      <w:tr>
        <w:trPr>
          <w:trHeight w:hRule="exact" w:val="236"/>
        </w:trPr>
        <w:tc>
          <w:tcPr>
            <w:tcW w:type="dxa" w:w="2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0" w:after="0"/>
              <w:ind w:left="2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Período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publicação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0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Inclusão</w:t>
            </w:r>
          </w:p>
        </w:tc>
        <w:tc>
          <w:tcPr>
            <w:tcW w:type="dxa" w:w="5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0" w:after="0"/>
              <w:ind w:left="25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Publicação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entre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2010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2026.</w:t>
            </w:r>
          </w:p>
        </w:tc>
      </w:tr>
      <w:tr>
        <w:trPr>
          <w:trHeight w:hRule="exact" w:val="242"/>
        </w:trPr>
        <w:tc>
          <w:tcPr>
            <w:tcW w:type="dxa" w:w="2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Decisão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priorização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2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Caracterização</w:t>
            </w:r>
          </w:p>
        </w:tc>
        <w:tc>
          <w:tcPr>
            <w:tcW w:type="dxa" w:w="5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2" w:after="0"/>
              <w:ind w:left="25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Identificação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MCDM,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MCDA,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AHP,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TOPSIS,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ANP,</w:t>
            </w:r>
          </w:p>
        </w:tc>
      </w:tr>
    </w:tbl>
    <w:p>
      <w:pPr>
        <w:autoSpaceDN w:val="0"/>
        <w:autoSpaceDE w:val="0"/>
        <w:widowControl/>
        <w:spacing w:line="200" w:lineRule="exact" w:before="20" w:after="0"/>
        <w:ind w:left="0" w:right="170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otimização,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pontuação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outros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instrumentos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apoio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à</w:t>
      </w:r>
    </w:p>
    <w:p>
      <w:pPr>
        <w:autoSpaceDN w:val="0"/>
        <w:autoSpaceDE w:val="0"/>
        <w:widowControl/>
        <w:spacing w:line="198" w:lineRule="exact" w:before="40" w:after="18"/>
        <w:ind w:left="0" w:right="0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decisão.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3129"/>
        <w:gridCol w:w="3129"/>
        <w:gridCol w:w="3129"/>
      </w:tblGrid>
      <w:tr>
        <w:trPr>
          <w:trHeight w:hRule="exact" w:val="242"/>
        </w:trPr>
        <w:tc>
          <w:tcPr>
            <w:tcW w:type="dxa" w:w="2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Contexto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edifica-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Caracterização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0" w:after="0"/>
              <w:ind w:left="25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Identificação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universidades,</w:t>
            </w:r>
            <w:r>
              <w:rPr>
                <w:rFonts w:ascii="LMRoman10" w:hAnsi="LMRoman10" w:eastAsia="LMRoman10"/>
                <w:b w:val="0"/>
                <w:i/>
                <w:color w:val="000000"/>
                <w:sz w:val="20"/>
              </w:rPr>
              <w:t>campus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,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edifícios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públi-</w:t>
            </w:r>
          </w:p>
        </w:tc>
      </w:tr>
      <w:tr>
        <w:trPr>
          <w:trHeight w:hRule="exact" w:val="238"/>
        </w:trPr>
        <w:tc>
          <w:tcPr>
            <w:tcW w:type="dxa" w:w="2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0" w:after="0"/>
              <w:ind w:left="2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ção</w:t>
            </w:r>
          </w:p>
        </w:tc>
        <w:tc>
          <w:tcPr>
            <w:tcW w:type="dxa" w:w="1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58" w:after="0"/>
              <w:ind w:left="18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Exclusão</w:t>
            </w:r>
          </w:p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0" w:after="0"/>
              <w:ind w:left="25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cos,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escolas,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hospitais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outras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tipologias.</w:t>
            </w:r>
          </w:p>
        </w:tc>
      </w:tr>
      <w:tr>
        <w:trPr>
          <w:trHeight w:hRule="exact" w:val="200"/>
        </w:trPr>
        <w:tc>
          <w:tcPr>
            <w:tcW w:type="dxa" w:w="2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8" w:after="0"/>
              <w:ind w:left="2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Escopo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externo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ao</w:t>
            </w:r>
          </w:p>
        </w:tc>
        <w:tc>
          <w:tcPr>
            <w:tcW w:type="dxa" w:w="3129"/>
            <w:vMerge/>
            <w:tcBorders/>
          </w:tcPr>
          <w:p/>
        </w:tc>
        <w:tc>
          <w:tcPr>
            <w:tcW w:type="dxa" w:w="5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8" w:after="0"/>
              <w:ind w:left="25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Aplicações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industriais,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transporte,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infraestrutura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linear</w:t>
            </w:r>
          </w:p>
        </w:tc>
      </w:tr>
    </w:tbl>
    <w:p>
      <w:pPr>
        <w:autoSpaceDN w:val="0"/>
        <w:autoSpaceDE w:val="0"/>
        <w:widowControl/>
        <w:spacing w:line="14" w:lineRule="exact" w:before="0" w:after="40"/>
        <w:ind w:left="0" w:right="0"/>
      </w:pPr>
    </w:p>
    <w:p>
      <w:pPr>
        <w:sectPr>
          <w:pgSz w:w="11906" w:h="16838"/>
          <w:pgMar w:top="860" w:right="1080" w:bottom="24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98" w:lineRule="exact" w:before="0" w:after="0"/>
        <w:ind w:left="380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ambiente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construído</w:t>
      </w:r>
    </w:p>
    <w:p>
      <w:pPr>
        <w:sectPr>
          <w:type w:val="continuous"/>
          <w:pgSz w:w="11906" w:h="16838"/>
          <w:pgMar w:top="860" w:right="1080" w:bottom="242" w:left="1440" w:header="720" w:footer="720" w:gutter="0"/>
          <w:cols w:num="2" w:equalWidth="0">
            <w:col w:w="3228" w:space="0"/>
            <w:col w:w="6158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0"/>
        <w:ind w:left="1088" w:right="288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ou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materiais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sem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relação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com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operação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manutenção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edificações.</w:t>
      </w:r>
    </w:p>
    <w:p>
      <w:pPr>
        <w:sectPr>
          <w:type w:val="nextColumn"/>
          <w:pgSz w:w="11906" w:h="16838"/>
          <w:pgMar w:top="860" w:right="1080" w:bottom="242" w:left="1440" w:header="720" w:footer="720" w:gutter="0"/>
          <w:cols w:num="2" w:equalWidth="0">
            <w:col w:w="3228" w:space="0"/>
            <w:col w:w="6158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3129"/>
        <w:gridCol w:w="3129"/>
        <w:gridCol w:w="3129"/>
      </w:tblGrid>
      <w:tr>
        <w:trPr>
          <w:trHeight w:hRule="exact" w:val="220"/>
        </w:trPr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2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Duplicidade</w:t>
            </w:r>
          </w:p>
        </w:tc>
        <w:tc>
          <w:tcPr>
            <w:tcW w:type="dxa" w:w="2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31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Consolidação</w:t>
            </w:r>
          </w:p>
        </w:tc>
        <w:tc>
          <w:tcPr>
            <w:tcW w:type="dxa" w:w="5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31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Fusão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DOI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normalizado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ou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título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normalizado,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com</w:t>
            </w:r>
          </w:p>
        </w:tc>
      </w:tr>
    </w:tbl>
    <w:p>
      <w:pPr>
        <w:autoSpaceDN w:val="0"/>
        <w:autoSpaceDE w:val="0"/>
        <w:widowControl/>
        <w:spacing w:line="200" w:lineRule="exact" w:before="18" w:after="0"/>
        <w:ind w:left="0" w:right="1192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preservação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das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bases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consultas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origem.</w:t>
      </w:r>
    </w:p>
    <w:p>
      <w:pPr>
        <w:autoSpaceDN w:val="0"/>
        <w:autoSpaceDE w:val="0"/>
        <w:widowControl/>
        <w:spacing w:line="198" w:lineRule="exact" w:before="150" w:after="0"/>
        <w:ind w:left="0" w:right="3324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Fonte: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elaborado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pelo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autor.</w:t>
      </w:r>
    </w:p>
    <w:p>
      <w:pPr>
        <w:autoSpaceDN w:val="0"/>
        <w:autoSpaceDE w:val="0"/>
        <w:widowControl/>
        <w:spacing w:line="238" w:lineRule="exact" w:before="448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DOIs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presentes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identificadores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próprios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mesma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fonte.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conflito,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os</w:t>
      </w:r>
    </w:p>
    <w:p>
      <w:pPr>
        <w:autoSpaceDN w:val="0"/>
        <w:autoSpaceDE w:val="0"/>
        <w:widowControl/>
        <w:spacing w:line="238" w:lineRule="exact" w:before="50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registros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permaneceram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separados.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hierarquia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identificador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persistente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campos</w:t>
      </w:r>
    </w:p>
    <w:p>
      <w:pPr>
        <w:autoSpaceDN w:val="0"/>
        <w:autoSpaceDE w:val="0"/>
        <w:widowControl/>
        <w:spacing w:line="240" w:lineRule="exact" w:before="50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bibliográficos,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assim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decisão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conservadora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fundir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potencialmente</w:t>
      </w:r>
    </w:p>
    <w:p>
      <w:pPr>
        <w:autoSpaceDN w:val="0"/>
        <w:autoSpaceDE w:val="0"/>
        <w:widowControl/>
        <w:spacing w:line="236" w:lineRule="exact" w:before="52" w:after="0"/>
        <w:ind w:left="260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distintos, foi adaptada da abordagem baseada em regras de Jiang et al. (2014), que compara</w:t>
      </w:r>
    </w:p>
    <w:p>
      <w:pPr>
        <w:autoSpaceDN w:val="0"/>
        <w:autoSpaceDE w:val="0"/>
        <w:widowControl/>
        <w:spacing w:line="236" w:lineRule="exact" w:before="52" w:after="0"/>
        <w:ind w:left="260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DOI, título, periódico, autores e ano diante de inconsistências entre bases.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 procedimento</w:t>
      </w:r>
    </w:p>
    <w:p>
      <w:pPr>
        <w:autoSpaceDN w:val="0"/>
        <w:autoSpaceDE w:val="0"/>
        <w:widowControl/>
        <w:spacing w:line="240" w:lineRule="exact" w:before="50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desta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revisão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restritivo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exigir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igualdade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normalizado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sua</w:t>
      </w:r>
    </w:p>
    <w:p>
      <w:pPr>
        <w:autoSpaceDN w:val="0"/>
        <w:autoSpaceDE w:val="0"/>
        <w:widowControl/>
        <w:spacing w:line="236" w:lineRule="exact" w:before="52" w:after="0"/>
        <w:ind w:left="260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ausência,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igualdade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título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normalizado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conflito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identificadores.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cada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grupo</w:t>
      </w:r>
    </w:p>
    <w:p>
      <w:pPr>
        <w:autoSpaceDN w:val="0"/>
        <w:autoSpaceDE w:val="0"/>
        <w:widowControl/>
        <w:spacing w:line="238" w:lineRule="exact" w:before="52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fundido,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preservados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origem,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consultas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origem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identificadores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brutos;</w:t>
      </w:r>
    </w:p>
    <w:p>
      <w:pPr>
        <w:autoSpaceDN w:val="0"/>
        <w:autoSpaceDE w:val="0"/>
        <w:widowControl/>
        <w:spacing w:line="236" w:lineRule="exact" w:before="52" w:after="0"/>
        <w:ind w:left="260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resumo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longo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disponível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mantido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demais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metadados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foram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selecionados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por</w:t>
      </w:r>
    </w:p>
    <w:p>
      <w:pPr>
        <w:autoSpaceDN w:val="0"/>
        <w:autoSpaceDE w:val="0"/>
        <w:widowControl/>
        <w:spacing w:line="240" w:lineRule="exact" w:before="50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completude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prioridade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fonte.</w:t>
      </w:r>
    </w:p>
    <w:p>
      <w:pPr>
        <w:autoSpaceDN w:val="0"/>
        <w:autoSpaceDE w:val="0"/>
        <w:widowControl/>
        <w:spacing w:line="238" w:lineRule="exact" w:before="50" w:after="0"/>
        <w:ind w:left="612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Tabela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apresenta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controles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conservadores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deduplicação.</w:t>
      </w:r>
    </w:p>
    <w:p>
      <w:pPr>
        <w:autoSpaceDN w:val="0"/>
        <w:autoSpaceDE w:val="0"/>
        <w:widowControl/>
        <w:spacing w:line="218" w:lineRule="exact" w:before="294" w:after="232"/>
        <w:ind w:left="0" w:right="2240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Tabela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5.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Resultados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controles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deduplicação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3129"/>
        <w:gridCol w:w="3129"/>
        <w:gridCol w:w="3129"/>
      </w:tblGrid>
      <w:tr>
        <w:trPr>
          <w:trHeight w:hRule="exact" w:val="394"/>
        </w:trPr>
        <w:tc>
          <w:tcPr>
            <w:tcW w:type="dxa" w:w="3948"/>
            <w:tcBorders>
              <w:top w:sz="7.48799991607666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6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Indicador</w:t>
            </w:r>
          </w:p>
        </w:tc>
        <w:tc>
          <w:tcPr>
            <w:tcW w:type="dxa" w:w="1660"/>
            <w:tcBorders>
              <w:top w:sz="7.48799991607666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6" w:after="0"/>
              <w:ind w:left="0" w:right="11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Total</w:t>
            </w:r>
          </w:p>
        </w:tc>
        <w:tc>
          <w:tcPr>
            <w:tcW w:type="dxa" w:w="3482"/>
            <w:tcBorders>
              <w:top w:sz="7.48799991607666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6" w:after="0"/>
              <w:ind w:left="12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Interpretação</w:t>
            </w:r>
          </w:p>
        </w:tc>
      </w:tr>
      <w:tr>
        <w:trPr>
          <w:trHeight w:hRule="exact" w:val="336"/>
        </w:trPr>
        <w:tc>
          <w:tcPr>
            <w:tcW w:type="dxa" w:w="3948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6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Registros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brutos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normalizados</w:t>
            </w:r>
          </w:p>
        </w:tc>
        <w:tc>
          <w:tcPr>
            <w:tcW w:type="dxa" w:w="1660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6" w:after="0"/>
              <w:ind w:left="0" w:right="11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12.118</w:t>
            </w:r>
          </w:p>
        </w:tc>
        <w:tc>
          <w:tcPr>
            <w:tcW w:type="dxa" w:w="3482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Uma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linha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ocorrência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recupe-</w:t>
            </w:r>
          </w:p>
        </w:tc>
      </w:tr>
    </w:tbl>
    <w:p>
      <w:pPr>
        <w:autoSpaceDN w:val="0"/>
        <w:autoSpaceDE w:val="0"/>
        <w:widowControl/>
        <w:spacing w:line="220" w:lineRule="exact" w:before="16" w:after="24"/>
        <w:ind w:left="0" w:right="754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rada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antes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deduplicação.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3129"/>
        <w:gridCol w:w="3129"/>
        <w:gridCol w:w="3129"/>
      </w:tblGrid>
      <w:tr>
        <w:trPr>
          <w:trHeight w:hRule="exact" w:val="272"/>
        </w:trPr>
        <w:tc>
          <w:tcPr>
            <w:tcW w:type="dxa" w:w="3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8" w:after="0"/>
              <w:ind w:left="2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Registros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únicos</w:t>
            </w:r>
          </w:p>
        </w:tc>
        <w:tc>
          <w:tcPr>
            <w:tcW w:type="dxa" w:w="2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8" w:after="0"/>
              <w:ind w:left="0" w:right="11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9.542</w:t>
            </w:r>
          </w:p>
        </w:tc>
        <w:tc>
          <w:tcPr>
            <w:tcW w:type="dxa" w:w="3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6" w:after="0"/>
              <w:ind w:left="12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Uma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linha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grupo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consoli-</w:t>
            </w:r>
          </w:p>
        </w:tc>
      </w:tr>
    </w:tbl>
    <w:p>
      <w:pPr>
        <w:autoSpaceDN w:val="0"/>
        <w:autoSpaceDE w:val="0"/>
        <w:widowControl/>
        <w:spacing w:line="220" w:lineRule="exact" w:before="26" w:after="24"/>
        <w:ind w:left="0" w:right="2884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dado.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3129"/>
        <w:gridCol w:w="3129"/>
        <w:gridCol w:w="3129"/>
      </w:tblGrid>
      <w:tr>
        <w:trPr>
          <w:trHeight w:hRule="exact" w:val="272"/>
        </w:trPr>
        <w:tc>
          <w:tcPr>
            <w:tcW w:type="dxa" w:w="3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8" w:after="0"/>
              <w:ind w:left="2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Ocorrências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removidas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8" w:after="0"/>
              <w:ind w:left="0" w:right="11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2.576</w:t>
            </w:r>
          </w:p>
        </w:tc>
        <w:tc>
          <w:tcPr>
            <w:tcW w:type="dxa" w:w="3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Diferença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entre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registros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brutos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</w:t>
            </w:r>
          </w:p>
        </w:tc>
      </w:tr>
    </w:tbl>
    <w:p>
      <w:pPr>
        <w:autoSpaceDN w:val="0"/>
        <w:autoSpaceDE w:val="0"/>
        <w:widowControl/>
        <w:spacing w:line="220" w:lineRule="exact" w:before="26" w:after="26"/>
        <w:ind w:left="0" w:right="2750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únicos.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3129"/>
        <w:gridCol w:w="3129"/>
        <w:gridCol w:w="3129"/>
      </w:tblGrid>
      <w:tr>
        <w:trPr>
          <w:trHeight w:hRule="exact" w:val="270"/>
        </w:trPr>
        <w:tc>
          <w:tcPr>
            <w:tcW w:type="dxa" w:w="3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6" w:after="0"/>
              <w:ind w:left="2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Grupos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com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duplicidade</w:t>
            </w:r>
          </w:p>
        </w:tc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6" w:after="0"/>
              <w:ind w:left="0" w:right="11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1.808</w:t>
            </w:r>
          </w:p>
        </w:tc>
        <w:tc>
          <w:tcPr>
            <w:tcW w:type="dxa" w:w="3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1.635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agrupados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DOI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173</w:t>
            </w:r>
          </w:p>
        </w:tc>
      </w:tr>
    </w:tbl>
    <w:p>
      <w:pPr>
        <w:autoSpaceDN w:val="0"/>
        <w:autoSpaceDE w:val="0"/>
        <w:widowControl/>
        <w:spacing w:line="220" w:lineRule="exact" w:before="26" w:after="26"/>
        <w:ind w:left="0" w:right="468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apenas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por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título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normalizado.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3129"/>
        <w:gridCol w:w="3129"/>
        <w:gridCol w:w="3129"/>
      </w:tblGrid>
      <w:tr>
        <w:trPr>
          <w:trHeight w:hRule="exact" w:val="262"/>
        </w:trPr>
        <w:tc>
          <w:tcPr>
            <w:tcW w:type="dxa" w:w="3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6" w:after="0"/>
              <w:ind w:left="2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Registros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únicos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com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DOI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6" w:after="0"/>
              <w:ind w:left="0" w:right="11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8.264</w:t>
            </w:r>
          </w:p>
        </w:tc>
        <w:tc>
          <w:tcPr>
            <w:tcW w:type="dxa" w:w="3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DOI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presente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após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consolidação.</w:t>
            </w:r>
          </w:p>
        </w:tc>
      </w:tr>
      <w:tr>
        <w:trPr>
          <w:trHeight w:hRule="exact" w:val="280"/>
        </w:trPr>
        <w:tc>
          <w:tcPr>
            <w:tcW w:type="dxa" w:w="3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4" w:after="0"/>
              <w:ind w:left="2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Registros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únicos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sem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DOI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4" w:after="0"/>
              <w:ind w:left="0" w:right="11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1.278</w:t>
            </w:r>
          </w:p>
        </w:tc>
        <w:tc>
          <w:tcPr>
            <w:tcW w:type="dxa" w:w="3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Dependem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título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identifica-</w:t>
            </w:r>
          </w:p>
        </w:tc>
      </w:tr>
    </w:tbl>
    <w:p>
      <w:pPr>
        <w:autoSpaceDN w:val="0"/>
        <w:autoSpaceDE w:val="0"/>
        <w:widowControl/>
        <w:spacing w:line="220" w:lineRule="exact" w:before="24" w:after="0"/>
        <w:ind w:left="0" w:right="446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dores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para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controle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duplici-</w:t>
      </w:r>
    </w:p>
    <w:p>
      <w:pPr>
        <w:autoSpaceDN w:val="0"/>
        <w:autoSpaceDE w:val="0"/>
        <w:widowControl/>
        <w:spacing w:line="218" w:lineRule="exact" w:before="52" w:after="26"/>
        <w:ind w:left="0" w:right="2896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dade.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3129"/>
        <w:gridCol w:w="3129"/>
        <w:gridCol w:w="3129"/>
      </w:tblGrid>
      <w:tr>
        <w:trPr>
          <w:trHeight w:hRule="exact" w:val="272"/>
        </w:trPr>
        <w:tc>
          <w:tcPr>
            <w:tcW w:type="dxa" w:w="3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8" w:after="0"/>
              <w:ind w:left="2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Conflitos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preservados</w:t>
            </w:r>
          </w:p>
        </w:tc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8" w:after="0"/>
              <w:ind w:left="0" w:right="11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98</w:t>
            </w:r>
          </w:p>
        </w:tc>
        <w:tc>
          <w:tcPr>
            <w:tcW w:type="dxa" w:w="3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51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DOI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divergente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47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por</w:t>
            </w:r>
          </w:p>
        </w:tc>
      </w:tr>
    </w:tbl>
    <w:p>
      <w:pPr>
        <w:autoSpaceDN w:val="0"/>
        <w:autoSpaceDE w:val="0"/>
        <w:widowControl/>
        <w:spacing w:line="220" w:lineRule="exact" w:before="26" w:after="0"/>
        <w:ind w:left="0" w:right="288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identificador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próprio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divergente;</w:t>
      </w:r>
    </w:p>
    <w:p>
      <w:pPr>
        <w:autoSpaceDN w:val="0"/>
        <w:autoSpaceDE w:val="0"/>
        <w:widowControl/>
        <w:spacing w:line="218" w:lineRule="exact" w:before="52" w:after="0"/>
        <w:ind w:left="0" w:right="1360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não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foram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mesclados.</w:t>
      </w:r>
    </w:p>
    <w:p>
      <w:pPr>
        <w:autoSpaceDN w:val="0"/>
        <w:autoSpaceDE w:val="0"/>
        <w:widowControl/>
        <w:spacing w:line="200" w:lineRule="exact" w:before="154" w:after="0"/>
        <w:ind w:left="0" w:right="3324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Fonte: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elaborado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pelo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autor.</w:t>
      </w:r>
    </w:p>
    <w:p>
      <w:pPr>
        <w:autoSpaceDN w:val="0"/>
        <w:autoSpaceDE w:val="0"/>
        <w:widowControl/>
        <w:spacing w:line="238" w:lineRule="exact" w:before="414" w:after="0"/>
        <w:ind w:left="0" w:right="4532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7</w:t>
      </w:r>
    </w:p>
    <w:p>
      <w:pPr>
        <w:sectPr>
          <w:type w:val="continuous"/>
          <w:pgSz w:w="11906" w:h="16838"/>
          <w:pgMar w:top="860" w:right="1080" w:bottom="24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272" w:lineRule="exact" w:before="0" w:after="0"/>
        <w:ind w:left="260" w:right="64" w:firstLine="352"/>
        <w:jc w:val="both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 rotina não usa similaridade aproximada de títulos e não estabelece vínculo automático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entre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trabalho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evento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artigo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posterior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quando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identificadores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diferem.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conflitos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detectados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preservados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separados.</w:t>
      </w:r>
    </w:p>
    <w:p>
      <w:pPr>
        <w:autoSpaceDN w:val="0"/>
        <w:autoSpaceDE w:val="0"/>
        <w:widowControl/>
        <w:spacing w:line="290" w:lineRule="exact" w:before="0" w:after="0"/>
        <w:ind w:left="260" w:right="20" w:firstLine="352"/>
        <w:jc w:val="both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 coleta produziu 12.118 registros brutos: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9.433 recuperados pela API da Scopus, cinco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existentes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apenas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manual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Scopus,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1.680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Web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Science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1.000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Crossref.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deduplicação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normalizado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título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normalizado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removeu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2.576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ocorrências repetidas e resultou em 9.542 registros únicos, com preservação da proveniência.</w:t>
      </w:r>
    </w:p>
    <w:p>
      <w:pPr>
        <w:autoSpaceDN w:val="0"/>
        <w:tabs>
          <w:tab w:pos="996" w:val="left"/>
        </w:tabs>
        <w:autoSpaceDE w:val="0"/>
        <w:widowControl/>
        <w:spacing w:line="286" w:lineRule="exact" w:before="418" w:after="0"/>
        <w:ind w:left="260" w:right="0" w:firstLine="0"/>
        <w:jc w:val="left"/>
      </w:pP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 xml:space="preserve">3.3 </w:t>
      </w:r>
      <w:r>
        <w:tab/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Triagem,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auditoria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e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consolidação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do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núcleo</w:t>
      </w:r>
    </w:p>
    <w:p>
      <w:pPr>
        <w:autoSpaceDN w:val="0"/>
        <w:autoSpaceDE w:val="0"/>
        <w:widowControl/>
        <w:spacing w:line="288" w:lineRule="exact" w:before="146" w:after="0"/>
        <w:ind w:left="25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pré-triagem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9.542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classificação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automática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determinística,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sem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linguagem,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casamento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expressões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título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resumo.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script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atribuiu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cinco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classes: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relevante,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complementar,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dúvida,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irrelevante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resumo.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aferir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essa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classificação,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sorteada,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42,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amostra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estratificada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100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registros,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equivalente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1,0%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corpus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único.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único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avaliador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leu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individualmente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título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alterou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classificações;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9.442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lidos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individualmente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nessa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auditoria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amostral.</w:t>
      </w:r>
    </w:p>
    <w:p>
      <w:pPr>
        <w:autoSpaceDN w:val="0"/>
        <w:autoSpaceDE w:val="0"/>
        <w:widowControl/>
        <w:spacing w:line="288" w:lineRule="exact" w:before="2" w:after="0"/>
        <w:ind w:left="260" w:right="0" w:firstLine="352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inicial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reteve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3.786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registros: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3.472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classificados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relevantes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314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casos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dúvida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apenas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bloco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objeto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presente.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Depois,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tabela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preservou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decisões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4.276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casos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dúvida: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206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marcados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como 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relevantes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4.070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descarte.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Um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script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R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apenas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validou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aplicou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essas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decisões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 xml:space="preserve">por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id_unico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sem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refazer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triagem.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documentação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disponível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preserva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decisões,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regras,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confiança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justificativas,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revisão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independente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procedimento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resolução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divergências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avaliadores.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núcleo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analítico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revisado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3.678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registros.</w:t>
      </w:r>
    </w:p>
    <w:p>
      <w:pPr>
        <w:autoSpaceDN w:val="0"/>
        <w:autoSpaceDE w:val="0"/>
        <w:widowControl/>
        <w:spacing w:line="288" w:lineRule="exact" w:before="0" w:after="0"/>
        <w:ind w:left="260" w:right="58" w:firstLine="35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3.678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submetidos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duas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camadas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determinísticas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ambas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linguagem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leitura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completo.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primeira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reavaliou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força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resumos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classificou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372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núcleo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forte,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830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descritivos,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157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como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contextuais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2.319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descarte.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segunda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pontuou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alinhamento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às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perguntas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pesquisa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título,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resumo,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palavras-chave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campos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extraídos: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137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classificados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centrais,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651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secundários,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375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descritivos,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157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contextuais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2.358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exclusão.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Assim,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137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registros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seguiram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auditoria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qualitativa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3.541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não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foram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selecionados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análise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central.</w:t>
      </w:r>
    </w:p>
    <w:p>
      <w:pPr>
        <w:autoSpaceDN w:val="0"/>
        <w:autoSpaceDE w:val="0"/>
        <w:widowControl/>
        <w:spacing w:line="288" w:lineRule="exact" w:before="2" w:after="0"/>
        <w:ind w:left="260" w:right="0" w:firstLine="352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auditoria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qualitativa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estruturada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examinou,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título,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resumo,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palavras-chave e campos extraídos dos 137 estudos, sem leitura integral.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Um único conjunto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decisões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manteve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104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núcleo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principal;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restantes,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classificados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secundários,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três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apenas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mapeamento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excluídos.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desses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havia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marcado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verificação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pontual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posteriormente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descartado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leitura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integral.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houve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segundo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avaliador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independente.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arquivos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da auditoria não identificam ferramenta de inteligência artificial, modelo, versão ou prompt; 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isso,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não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atribui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essa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etapa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IA.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coluna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asreview_label_compativel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é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 xml:space="preserve">apenas 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um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campo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compatibilidade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não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constitui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evidência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uso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ASReview.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Tabela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 xml:space="preserve">6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Figura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apresentam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fluxo.</w:t>
      </w:r>
    </w:p>
    <w:p>
      <w:pPr>
        <w:autoSpaceDN w:val="0"/>
        <w:autoSpaceDE w:val="0"/>
        <w:widowControl/>
        <w:spacing w:line="288" w:lineRule="exact" w:before="0" w:after="0"/>
        <w:ind w:left="250" w:right="32" w:firstLine="36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avaliação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elegibilidade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núcleo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incluiu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leitura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104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estudos.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Título,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resumo,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palavras-chave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campos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extraídos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documental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camadas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triagem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auditoria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qualitativa.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137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havia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sinalizado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verificação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pontual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excluído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essa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leitura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fosse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realizada.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inclusão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104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estudos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núcleo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representa,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portanto,</w:t>
      </w:r>
    </w:p>
    <w:p>
      <w:pPr>
        <w:autoSpaceDN w:val="0"/>
        <w:autoSpaceDE w:val="0"/>
        <w:widowControl/>
        <w:spacing w:line="238" w:lineRule="exact" w:before="564" w:after="0"/>
        <w:ind w:left="0" w:right="454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8</w:t>
      </w:r>
    </w:p>
    <w:p>
      <w:pPr>
        <w:sectPr>
          <w:pgSz w:w="11906" w:h="16838"/>
          <w:pgMar w:top="878" w:right="1068" w:bottom="24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4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2235200</wp:posOffset>
            </wp:positionH>
            <wp:positionV relativeFrom="page">
              <wp:posOffset>3797300</wp:posOffset>
            </wp:positionV>
            <wp:extent cx="3441700" cy="306070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41700" cy="30607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18" w:lineRule="exact" w:before="0" w:after="232"/>
        <w:ind w:left="0" w:right="2422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Tabela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6.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Rastreabilidade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funil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seleção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rHeight w:hRule="exact" w:val="210"/>
        </w:trPr>
        <w:tc>
          <w:tcPr>
            <w:tcW w:type="dxa" w:w="808"/>
            <w:tcBorders>
              <w:top w:sz="7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70" w:after="0"/>
              <w:ind w:left="48" w:right="0" w:firstLine="0"/>
              <w:jc w:val="left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Etapa</w:t>
            </w:r>
          </w:p>
        </w:tc>
        <w:tc>
          <w:tcPr>
            <w:tcW w:type="dxa" w:w="2160"/>
            <w:tcBorders>
              <w:top w:sz="7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70" w:after="0"/>
              <w:ind w:left="390" w:right="0" w:firstLine="0"/>
              <w:jc w:val="left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Entrada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Procedimento</w:t>
            </w:r>
          </w:p>
        </w:tc>
        <w:tc>
          <w:tcPr>
            <w:tcW w:type="dxa" w:w="1340"/>
            <w:tcBorders>
              <w:top w:sz="7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70" w:after="0"/>
              <w:ind w:left="324" w:right="0" w:firstLine="0"/>
              <w:jc w:val="left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Critério</w:t>
            </w:r>
          </w:p>
        </w:tc>
        <w:tc>
          <w:tcPr>
            <w:tcW w:type="dxa" w:w="1540"/>
            <w:tcBorders>
              <w:top w:sz="7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70" w:after="0"/>
              <w:ind w:left="0" w:right="226" w:firstLine="0"/>
              <w:jc w:val="right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Responsável</w:t>
            </w:r>
          </w:p>
        </w:tc>
        <w:tc>
          <w:tcPr>
            <w:tcW w:type="dxa" w:w="1080"/>
            <w:tcBorders>
              <w:top w:sz="7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70" w:after="0"/>
              <w:ind w:left="0" w:right="0" w:firstLine="0"/>
              <w:jc w:val="center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Incluídos</w:t>
            </w:r>
          </w:p>
        </w:tc>
        <w:tc>
          <w:tcPr>
            <w:tcW w:type="dxa" w:w="540"/>
            <w:tcBorders>
              <w:top w:sz="7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70" w:after="0"/>
              <w:ind w:left="0" w:right="24" w:firstLine="0"/>
              <w:jc w:val="right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Não</w:t>
            </w:r>
          </w:p>
        </w:tc>
        <w:tc>
          <w:tcPr>
            <w:tcW w:type="dxa" w:w="1622"/>
            <w:tcBorders>
              <w:top w:sz="7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70" w:after="0"/>
              <w:ind w:left="56" w:right="0" w:firstLine="0"/>
              <w:jc w:val="left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Motivos</w:t>
            </w:r>
          </w:p>
        </w:tc>
      </w:tr>
    </w:tbl>
    <w:p>
      <w:pPr>
        <w:autoSpaceDN w:val="0"/>
        <w:autoSpaceDE w:val="0"/>
        <w:widowControl/>
        <w:spacing w:line="120" w:lineRule="exact" w:before="0" w:after="56"/>
        <w:ind w:left="0" w:right="1666" w:firstLine="0"/>
        <w:jc w:val="right"/>
      </w:pPr>
      <w:r>
        <w:rPr>
          <w:rFonts w:ascii="LMRoman6" w:hAnsi="LMRoman6" w:eastAsia="LMRoman6"/>
          <w:b w:val="0"/>
          <w:i w:val="0"/>
          <w:color w:val="000000"/>
          <w:sz w:val="12"/>
        </w:rPr>
        <w:t>retidos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4.00000000000006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hRule="exact" w:val="198"/>
        </w:trPr>
        <w:tc>
          <w:tcPr>
            <w:tcW w:type="dxa" w:w="1106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2" w:lineRule="exact" w:before="70" w:after="0"/>
              <w:ind w:left="46" w:right="0" w:firstLine="0"/>
              <w:jc w:val="left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Coleta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e</w:t>
            </w:r>
          </w:p>
        </w:tc>
        <w:tc>
          <w:tcPr>
            <w:tcW w:type="dxa" w:w="2140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2" w:lineRule="exact" w:before="70" w:after="0"/>
              <w:ind w:left="200" w:right="0" w:firstLine="0"/>
              <w:jc w:val="left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12.118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Normalização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e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agru-</w:t>
            </w:r>
          </w:p>
        </w:tc>
        <w:tc>
          <w:tcPr>
            <w:tcW w:type="dxa" w:w="1560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2" w:lineRule="exact" w:before="70" w:after="0"/>
              <w:ind w:left="44" w:right="0" w:firstLine="0"/>
              <w:jc w:val="left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DOI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normalizado;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na</w:t>
            </w:r>
          </w:p>
        </w:tc>
        <w:tc>
          <w:tcPr>
            <w:tcW w:type="dxa" w:w="1280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72" w:after="0"/>
              <w:ind w:left="38" w:right="0" w:firstLine="0"/>
              <w:jc w:val="left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Script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Python.</w:t>
            </w:r>
          </w:p>
        </w:tc>
        <w:tc>
          <w:tcPr>
            <w:tcW w:type="dxa" w:w="800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72" w:after="0"/>
              <w:ind w:left="0" w:right="0" w:firstLine="0"/>
              <w:jc w:val="center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9.542</w:t>
            </w:r>
          </w:p>
        </w:tc>
        <w:tc>
          <w:tcPr>
            <w:tcW w:type="dxa" w:w="2198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2" w:lineRule="exact" w:before="70" w:after="0"/>
              <w:ind w:left="222" w:right="0" w:firstLine="0"/>
              <w:jc w:val="left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2.576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Ocorrências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duplicadas</w:t>
            </w:r>
          </w:p>
        </w:tc>
      </w:tr>
      <w:tr>
        <w:trPr>
          <w:trHeight w:hRule="exact" w:val="148"/>
        </w:trPr>
        <w:tc>
          <w:tcPr>
            <w:tcW w:type="dxa" w:w="110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18" w:lineRule="exact" w:before="20" w:after="0"/>
              <w:ind w:left="46" w:right="0" w:firstLine="0"/>
              <w:jc w:val="left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deduplicação</w:t>
            </w:r>
          </w:p>
        </w:tc>
        <w:tc>
          <w:tcPr>
            <w:tcW w:type="dxa" w:w="2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2" w:lineRule="exact" w:before="18" w:after="0"/>
              <w:ind w:left="0" w:right="90" w:firstLine="0"/>
              <w:jc w:val="right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pamento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por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DOI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ou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18" w:after="0"/>
              <w:ind w:left="0" w:right="0" w:firstLine="0"/>
              <w:jc w:val="center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ausência,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título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norma-</w:t>
            </w:r>
          </w:p>
        </w:tc>
        <w:tc>
          <w:tcPr>
            <w:tcW w:type="dxa" w:w="12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2" w:lineRule="exact" w:before="436" w:after="0"/>
              <w:ind w:left="38" w:right="0" w:firstLine="0"/>
              <w:jc w:val="left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Scripts</w:t>
            </w:r>
          </w:p>
        </w:tc>
        <w:tc>
          <w:tcPr>
            <w:tcW w:type="dxa" w:w="8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438" w:after="0"/>
              <w:ind w:left="0" w:right="0" w:firstLine="0"/>
              <w:jc w:val="center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3.678</w:t>
            </w:r>
          </w:p>
        </w:tc>
        <w:tc>
          <w:tcPr>
            <w:tcW w:type="dxa" w:w="219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2" w:lineRule="exact" w:before="18" w:after="0"/>
              <w:ind w:left="0" w:right="126" w:firstLine="0"/>
              <w:jc w:val="right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entre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bases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ou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consul-</w:t>
            </w:r>
          </w:p>
        </w:tc>
      </w:tr>
      <w:tr>
        <w:trPr>
          <w:trHeight w:hRule="exact" w:val="140"/>
        </w:trPr>
        <w:tc>
          <w:tcPr>
            <w:tcW w:type="dxa" w:w="1560"/>
            <w:vMerge/>
            <w:tcBorders/>
          </w:tcPr>
          <w:p/>
        </w:tc>
        <w:tc>
          <w:tcPr>
            <w:tcW w:type="dxa" w:w="2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10" w:after="0"/>
              <w:ind w:left="0" w:right="10" w:firstLine="0"/>
              <w:jc w:val="right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título,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com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proveniên-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10" w:after="0"/>
              <w:ind w:left="0" w:right="0" w:firstLine="0"/>
              <w:jc w:val="center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lizado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sem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conflito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de</w:t>
            </w:r>
          </w:p>
        </w:tc>
        <w:tc>
          <w:tcPr>
            <w:tcW w:type="dxa" w:w="1560"/>
            <w:vMerge/>
            <w:tcBorders/>
          </w:tcPr>
          <w:p/>
        </w:tc>
        <w:tc>
          <w:tcPr>
            <w:tcW w:type="dxa" w:w="1560"/>
            <w:vMerge/>
            <w:tcBorders/>
          </w:tcPr>
          <w:p/>
        </w:tc>
        <w:tc>
          <w:tcPr>
            <w:tcW w:type="dxa" w:w="2198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10" w:after="0"/>
              <w:ind w:left="0" w:right="1332" w:firstLine="0"/>
              <w:jc w:val="right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tas.</w:t>
            </w:r>
          </w:p>
        </w:tc>
      </w:tr>
      <w:tr>
        <w:trPr>
          <w:trHeight w:hRule="exact" w:val="70"/>
        </w:trPr>
        <w:tc>
          <w:tcPr>
            <w:tcW w:type="dxa" w:w="110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2" w:lineRule="exact" w:before="148" w:after="0"/>
              <w:ind w:left="46" w:right="0" w:firstLine="0"/>
              <w:jc w:val="left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Pré-triagem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e</w:t>
            </w:r>
          </w:p>
        </w:tc>
        <w:tc>
          <w:tcPr>
            <w:tcW w:type="dxa" w:w="21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10" w:after="0"/>
              <w:ind w:left="0" w:right="500" w:firstLine="0"/>
              <w:jc w:val="right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cia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preservada.</w:t>
            </w:r>
          </w:p>
        </w:tc>
        <w:tc>
          <w:tcPr>
            <w:tcW w:type="dxa" w:w="15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10" w:after="0"/>
              <w:ind w:left="44" w:right="0" w:firstLine="0"/>
              <w:jc w:val="left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identificador.</w:t>
            </w:r>
          </w:p>
        </w:tc>
        <w:tc>
          <w:tcPr>
            <w:tcW w:type="dxa" w:w="1560"/>
            <w:vMerge/>
            <w:tcBorders/>
          </w:tcPr>
          <w:p/>
        </w:tc>
        <w:tc>
          <w:tcPr>
            <w:tcW w:type="dxa" w:w="1560"/>
            <w:vMerge/>
            <w:tcBorders/>
          </w:tcPr>
          <w:p/>
        </w:tc>
        <w:tc>
          <w:tcPr>
            <w:tcW w:type="dxa" w:w="1560"/>
            <w:vMerge/>
            <w:tcBorders/>
          </w:tcPr>
          <w:p/>
        </w:tc>
      </w:tr>
      <w:tr>
        <w:trPr>
          <w:trHeight w:hRule="exact" w:val="70"/>
        </w:trPr>
        <w:tc>
          <w:tcPr>
            <w:tcW w:type="dxa" w:w="1560"/>
            <w:vMerge/>
            <w:tcBorders/>
          </w:tcPr>
          <w:p/>
        </w:tc>
        <w:tc>
          <w:tcPr>
            <w:tcW w:type="dxa" w:w="1560"/>
            <w:vMerge/>
            <w:tcBorders/>
          </w:tcPr>
          <w:p/>
        </w:tc>
        <w:tc>
          <w:tcPr>
            <w:tcW w:type="dxa" w:w="1560"/>
            <w:vMerge/>
            <w:tcBorders/>
          </w:tcPr>
          <w:p/>
        </w:tc>
        <w:tc>
          <w:tcPr>
            <w:tcW w:type="dxa" w:w="1560"/>
            <w:vMerge/>
            <w:tcBorders/>
          </w:tcPr>
          <w:p/>
        </w:tc>
        <w:tc>
          <w:tcPr>
            <w:tcW w:type="dxa" w:w="1560"/>
            <w:vMerge/>
            <w:tcBorders/>
          </w:tcPr>
          <w:p/>
        </w:tc>
        <w:tc>
          <w:tcPr>
            <w:tcW w:type="dxa" w:w="2198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2" w:lineRule="exact" w:before="78" w:after="0"/>
              <w:ind w:left="0" w:right="0" w:firstLine="0"/>
              <w:jc w:val="center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5.864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4.070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dúvidas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descar-</w:t>
            </w:r>
          </w:p>
        </w:tc>
      </w:tr>
      <w:tr>
        <w:trPr>
          <w:trHeight w:hRule="exact" w:val="132"/>
        </w:trPr>
        <w:tc>
          <w:tcPr>
            <w:tcW w:type="dxa" w:w="1560"/>
            <w:vMerge/>
            <w:tcBorders/>
          </w:tcPr>
          <w:p/>
        </w:tc>
        <w:tc>
          <w:tcPr>
            <w:tcW w:type="dxa" w:w="2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2" w:lineRule="exact" w:before="8" w:after="0"/>
              <w:ind w:left="0" w:right="0" w:firstLine="0"/>
              <w:jc w:val="center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9.542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Regras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em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título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e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2" w:lineRule="exact" w:before="8" w:after="0"/>
              <w:ind w:left="44" w:right="0" w:firstLine="0"/>
              <w:jc w:val="left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Classe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relevante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ou</w:t>
            </w:r>
          </w:p>
        </w:tc>
        <w:tc>
          <w:tcPr>
            <w:tcW w:type="dxa" w:w="1560"/>
            <w:vMerge/>
            <w:tcBorders/>
          </w:tcPr>
          <w:p/>
        </w:tc>
        <w:tc>
          <w:tcPr>
            <w:tcW w:type="dxa" w:w="1560"/>
            <w:vMerge/>
            <w:tcBorders/>
          </w:tcPr>
          <w:p/>
        </w:tc>
        <w:tc>
          <w:tcPr>
            <w:tcW w:type="dxa" w:w="1560"/>
            <w:vMerge/>
            <w:tcBorders/>
          </w:tcPr>
          <w:p/>
        </w:tc>
      </w:tr>
      <w:tr>
        <w:trPr>
          <w:trHeight w:hRule="exact" w:val="140"/>
        </w:trPr>
        <w:tc>
          <w:tcPr>
            <w:tcW w:type="dxa" w:w="110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18" w:lineRule="exact" w:before="18" w:after="0"/>
              <w:ind w:left="46" w:right="0" w:firstLine="0"/>
              <w:jc w:val="left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resolução</w:t>
            </w:r>
          </w:p>
        </w:tc>
        <w:tc>
          <w:tcPr>
            <w:tcW w:type="dxa" w:w="2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16" w:after="0"/>
              <w:ind w:left="0" w:right="304" w:firstLine="0"/>
              <w:jc w:val="right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resumo;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auditoria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16" w:after="0"/>
              <w:ind w:left="44" w:right="0" w:firstLine="0"/>
              <w:jc w:val="left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decisão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revisada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16" w:after="0"/>
              <w:ind w:left="38" w:right="0" w:firstLine="0"/>
              <w:jc w:val="left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Python/R;</w:t>
            </w:r>
          </w:p>
        </w:tc>
        <w:tc>
          <w:tcPr>
            <w:tcW w:type="dxa" w:w="1560"/>
            <w:vMerge/>
            <w:tcBorders/>
          </w:tcPr>
          <w:p/>
        </w:tc>
        <w:tc>
          <w:tcPr>
            <w:tcW w:type="dxa" w:w="219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16" w:after="0"/>
              <w:ind w:left="0" w:right="58" w:firstLine="0"/>
              <w:jc w:val="right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tadas;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796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irrelevantes;</w:t>
            </w:r>
          </w:p>
        </w:tc>
      </w:tr>
      <w:tr>
        <w:trPr>
          <w:trHeight w:hRule="exact" w:val="140"/>
        </w:trPr>
        <w:tc>
          <w:tcPr>
            <w:tcW w:type="dxa" w:w="1560"/>
            <w:vMerge/>
            <w:tcBorders/>
          </w:tcPr>
          <w:p/>
        </w:tc>
        <w:tc>
          <w:tcPr>
            <w:tcW w:type="dxa" w:w="2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16" w:after="0"/>
              <w:ind w:left="0" w:right="168" w:firstLine="0"/>
              <w:jc w:val="right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de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100;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corte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inicial</w:t>
            </w:r>
          </w:p>
        </w:tc>
        <w:tc>
          <w:tcPr>
            <w:tcW w:type="dxa" w:w="15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6" w:lineRule="exact" w:before="16" w:after="0"/>
              <w:ind w:left="44" w:right="0" w:firstLine="0"/>
              <w:jc w:val="left"/>
            </w:pPr>
            <w:r>
              <w:rPr>
                <w:rFonts w:ascii="LMMono8" w:hAnsi="LMMono8" w:eastAsia="LMMono8"/>
                <w:b w:val="0"/>
                <w:i w:val="0"/>
                <w:color w:val="000000"/>
                <w:sz w:val="12"/>
              </w:rPr>
              <w:t>RELEVANTE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.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16" w:after="0"/>
              <w:ind w:left="38" w:right="0" w:firstLine="0"/>
              <w:jc w:val="left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avaliador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único</w:t>
            </w:r>
          </w:p>
        </w:tc>
        <w:tc>
          <w:tcPr>
            <w:tcW w:type="dxa" w:w="1560"/>
            <w:vMerge/>
            <w:tcBorders/>
          </w:tcPr>
          <w:p/>
        </w:tc>
        <w:tc>
          <w:tcPr>
            <w:tcW w:type="dxa" w:w="219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16" w:after="0"/>
              <w:ind w:left="0" w:right="212" w:firstLine="0"/>
              <w:jc w:val="right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566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sem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resumo;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432</w:t>
            </w:r>
          </w:p>
        </w:tc>
      </w:tr>
      <w:tr>
        <w:trPr>
          <w:trHeight w:hRule="exact" w:val="140"/>
        </w:trPr>
        <w:tc>
          <w:tcPr>
            <w:tcW w:type="dxa" w:w="1560"/>
            <w:vMerge/>
            <w:tcBorders/>
          </w:tcPr>
          <w:p/>
        </w:tc>
        <w:tc>
          <w:tcPr>
            <w:tcW w:type="dxa" w:w="2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16" w:after="0"/>
              <w:ind w:left="0" w:right="354" w:firstLine="0"/>
              <w:jc w:val="right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de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3.786;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decisão</w:t>
            </w:r>
          </w:p>
        </w:tc>
        <w:tc>
          <w:tcPr>
            <w:tcW w:type="dxa" w:w="1560"/>
            <w:vMerge/>
            <w:tcBorders/>
          </w:tcPr>
          <w:p/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16" w:after="0"/>
              <w:ind w:left="38" w:right="0" w:firstLine="0"/>
              <w:jc w:val="left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na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amostra;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ta-</w:t>
            </w:r>
          </w:p>
        </w:tc>
        <w:tc>
          <w:tcPr>
            <w:tcW w:type="dxa" w:w="1560"/>
            <w:vMerge/>
            <w:tcBorders/>
          </w:tcPr>
          <w:p/>
        </w:tc>
        <w:tc>
          <w:tcPr>
            <w:tcW w:type="dxa" w:w="2198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16" w:after="0"/>
              <w:ind w:left="0" w:right="502" w:firstLine="0"/>
              <w:jc w:val="right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complementares.</w:t>
            </w:r>
          </w:p>
        </w:tc>
      </w:tr>
      <w:tr>
        <w:trPr>
          <w:trHeight w:hRule="exact" w:val="146"/>
        </w:trPr>
        <w:tc>
          <w:tcPr>
            <w:tcW w:type="dxa" w:w="1560"/>
            <w:vMerge/>
            <w:tcBorders/>
          </w:tcPr>
          <w:p/>
        </w:tc>
        <w:tc>
          <w:tcPr>
            <w:tcW w:type="dxa" w:w="2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2" w:lineRule="exact" w:before="14" w:after="0"/>
              <w:ind w:left="0" w:right="262" w:firstLine="0"/>
              <w:jc w:val="right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dos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4.276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casos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de</w:t>
            </w:r>
          </w:p>
        </w:tc>
        <w:tc>
          <w:tcPr>
            <w:tcW w:type="dxa" w:w="1560"/>
            <w:vMerge/>
            <w:tcBorders/>
          </w:tcPr>
          <w:p/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16" w:after="0"/>
              <w:ind w:left="38" w:right="0" w:firstLine="0"/>
              <w:jc w:val="left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bela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de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decisão.</w:t>
            </w:r>
          </w:p>
        </w:tc>
        <w:tc>
          <w:tcPr>
            <w:tcW w:type="dxa" w:w="1560"/>
            <w:vMerge/>
            <w:tcBorders/>
          </w:tcPr>
          <w:p/>
        </w:tc>
        <w:tc>
          <w:tcPr>
            <w:tcW w:type="dxa" w:w="156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18" w:lineRule="exact" w:before="4" w:after="10"/>
        <w:ind w:left="2048" w:right="0" w:firstLine="0"/>
        <w:jc w:val="left"/>
      </w:pPr>
      <w:r>
        <w:rPr>
          <w:rFonts w:ascii="LMRoman6" w:hAnsi="LMRoman6" w:eastAsia="LMRoman6"/>
          <w:b w:val="0"/>
          <w:i w:val="0"/>
          <w:color w:val="000000"/>
          <w:sz w:val="12"/>
        </w:rPr>
        <w:t>dúvida.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0.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hRule="exact" w:val="136"/>
        </w:trPr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10" w:after="0"/>
              <w:ind w:left="160" w:right="0" w:firstLine="0"/>
              <w:jc w:val="left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Alinhamento</w:t>
            </w:r>
          </w:p>
        </w:tc>
        <w:tc>
          <w:tcPr>
            <w:tcW w:type="dxa" w:w="2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10" w:after="0"/>
              <w:ind w:left="254" w:right="0" w:firstLine="0"/>
              <w:jc w:val="left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3.678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Pontuação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determi-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10" w:after="0"/>
              <w:ind w:left="104" w:right="0" w:firstLine="0"/>
              <w:jc w:val="left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Sinais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de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objeto,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10" w:after="0"/>
              <w:ind w:left="58" w:right="0" w:firstLine="0"/>
              <w:jc w:val="left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Scripts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R;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regras</w:t>
            </w:r>
          </w:p>
        </w:tc>
        <w:tc>
          <w:tcPr>
            <w:tcW w:type="dxa" w:w="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10" w:after="0"/>
              <w:ind w:left="0" w:right="0" w:firstLine="0"/>
              <w:jc w:val="center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137</w:t>
            </w:r>
          </w:p>
        </w:tc>
        <w:tc>
          <w:tcPr>
            <w:tcW w:type="dxa" w:w="2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10" w:after="0"/>
              <w:ind w:left="0" w:right="0" w:firstLine="0"/>
              <w:jc w:val="center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3.541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Uso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secundário,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des-</w:t>
            </w:r>
          </w:p>
        </w:tc>
      </w:tr>
      <w:tr>
        <w:trPr>
          <w:trHeight w:hRule="exact" w:val="140"/>
        </w:trPr>
        <w:tc>
          <w:tcPr>
            <w:tcW w:type="dxa" w:w="12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14" w:after="0"/>
              <w:ind w:left="160" w:right="0" w:firstLine="0"/>
              <w:jc w:val="left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às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RQs</w:t>
            </w:r>
          </w:p>
        </w:tc>
        <w:tc>
          <w:tcPr>
            <w:tcW w:type="dxa" w:w="2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14" w:after="0"/>
              <w:ind w:left="0" w:right="100" w:firstLine="0"/>
              <w:jc w:val="right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nística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de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aderência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14" w:after="0"/>
              <w:ind w:left="0" w:right="0" w:firstLine="0"/>
              <w:jc w:val="center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manutenção,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susten-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14" w:after="0"/>
              <w:ind w:left="58" w:right="0" w:firstLine="0"/>
              <w:jc w:val="left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aprovadas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pelo</w:t>
            </w:r>
          </w:p>
        </w:tc>
        <w:tc>
          <w:tcPr>
            <w:tcW w:type="dxa" w:w="1560"/>
            <w:vMerge/>
            <w:tcBorders/>
          </w:tcPr>
          <w:p/>
        </w:tc>
        <w:tc>
          <w:tcPr>
            <w:tcW w:type="dxa" w:w="2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14" w:after="0"/>
              <w:ind w:left="0" w:right="84" w:firstLine="0"/>
              <w:jc w:val="right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critivo,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contextual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ou</w:t>
            </w:r>
          </w:p>
        </w:tc>
      </w:tr>
      <w:tr>
        <w:trPr>
          <w:trHeight w:hRule="exact" w:val="140"/>
        </w:trPr>
        <w:tc>
          <w:tcPr>
            <w:tcW w:type="dxa" w:w="1560"/>
            <w:vMerge/>
            <w:tcBorders/>
          </w:tcPr>
          <w:p/>
        </w:tc>
        <w:tc>
          <w:tcPr>
            <w:tcW w:type="dxa" w:w="2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2" w:lineRule="exact" w:before="12" w:after="0"/>
              <w:ind w:left="0" w:right="238" w:firstLine="0"/>
              <w:jc w:val="right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às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RQs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e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força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do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2" w:lineRule="exact" w:before="12" w:after="0"/>
              <w:ind w:left="0" w:right="0" w:firstLine="0"/>
              <w:jc w:val="center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tabilidade,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decisão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e</w:t>
            </w:r>
          </w:p>
        </w:tc>
        <w:tc>
          <w:tcPr>
            <w:tcW w:type="dxa" w:w="14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14" w:after="0"/>
              <w:ind w:left="58" w:right="0" w:firstLine="0"/>
              <w:jc w:val="left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pesquisador.</w:t>
            </w:r>
          </w:p>
        </w:tc>
        <w:tc>
          <w:tcPr>
            <w:tcW w:type="dxa" w:w="1560"/>
            <w:vMerge/>
            <w:tcBorders/>
          </w:tcPr>
          <w:p/>
        </w:tc>
        <w:tc>
          <w:tcPr>
            <w:tcW w:type="dxa" w:w="2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2" w:lineRule="exact" w:before="12" w:after="0"/>
              <w:ind w:left="0" w:right="240" w:firstLine="0"/>
              <w:jc w:val="right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exclusão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da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análise</w:t>
            </w:r>
          </w:p>
        </w:tc>
      </w:tr>
      <w:tr>
        <w:trPr>
          <w:trHeight w:hRule="exact" w:val="142"/>
        </w:trPr>
        <w:tc>
          <w:tcPr>
            <w:tcW w:type="dxa" w:w="1560"/>
            <w:vMerge/>
            <w:tcBorders/>
          </w:tcPr>
          <w:p/>
        </w:tc>
        <w:tc>
          <w:tcPr>
            <w:tcW w:type="dxa" w:w="2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12" w:after="0"/>
              <w:ind w:left="0" w:right="896" w:firstLine="0"/>
              <w:jc w:val="right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resumo.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12" w:after="0"/>
              <w:ind w:left="104" w:right="0" w:firstLine="0"/>
              <w:jc w:val="left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contexto;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sem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exclusão</w:t>
            </w:r>
          </w:p>
        </w:tc>
        <w:tc>
          <w:tcPr>
            <w:tcW w:type="dxa" w:w="1560"/>
            <w:vMerge/>
            <w:tcBorders/>
          </w:tcPr>
          <w:p/>
        </w:tc>
        <w:tc>
          <w:tcPr>
            <w:tcW w:type="dxa" w:w="1560"/>
            <w:vMerge/>
            <w:tcBorders/>
          </w:tcPr>
          <w:p/>
        </w:tc>
        <w:tc>
          <w:tcPr>
            <w:tcW w:type="dxa" w:w="2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12" w:after="0"/>
              <w:ind w:left="0" w:right="1004" w:firstLine="0"/>
              <w:jc w:val="right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central.</w:t>
            </w:r>
          </w:p>
        </w:tc>
      </w:tr>
    </w:tbl>
    <w:p>
      <w:pPr>
        <w:autoSpaceDN w:val="0"/>
        <w:autoSpaceDE w:val="0"/>
        <w:widowControl/>
        <w:spacing w:line="120" w:lineRule="exact" w:before="10" w:after="10"/>
        <w:ind w:left="0" w:right="5476" w:firstLine="0"/>
        <w:jc w:val="right"/>
      </w:pPr>
      <w:r>
        <w:rPr>
          <w:rFonts w:ascii="LMRoman6" w:hAnsi="LMRoman6" w:eastAsia="LMRoman6"/>
          <w:b w:val="0"/>
          <w:i w:val="0"/>
          <w:color w:val="000000"/>
          <w:sz w:val="12"/>
        </w:rPr>
        <w:t>forte.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0.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hRule="exact" w:val="138"/>
        </w:trPr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2" w:lineRule="exact" w:before="8" w:after="0"/>
              <w:ind w:left="160" w:right="0" w:firstLine="0"/>
              <w:jc w:val="left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Auditoria</w:t>
            </w:r>
          </w:p>
        </w:tc>
        <w:tc>
          <w:tcPr>
            <w:tcW w:type="dxa" w:w="2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10" w:after="0"/>
              <w:ind w:left="388" w:right="0" w:firstLine="0"/>
              <w:jc w:val="left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137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Auditoria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estruturada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2" w:lineRule="exact" w:before="8" w:after="0"/>
              <w:ind w:left="44" w:right="0" w:firstLine="0"/>
              <w:jc w:val="left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Aderência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ao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núcleo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2" w:lineRule="exact" w:before="8" w:after="0"/>
              <w:ind w:left="78" w:right="0" w:firstLine="0"/>
              <w:jc w:val="left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Avaliador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único,</w:t>
            </w:r>
          </w:p>
        </w:tc>
        <w:tc>
          <w:tcPr>
            <w:tcW w:type="dxa" w:w="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10" w:after="0"/>
              <w:ind w:left="0" w:right="0" w:firstLine="0"/>
              <w:jc w:val="center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104</w:t>
            </w:r>
          </w:p>
        </w:tc>
        <w:tc>
          <w:tcPr>
            <w:tcW w:type="dxa" w:w="2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2" w:lineRule="exact" w:before="8" w:after="0"/>
              <w:ind w:left="0" w:right="0" w:firstLine="0"/>
              <w:jc w:val="center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33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21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secundários;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3</w:t>
            </w:r>
          </w:p>
        </w:tc>
      </w:tr>
      <w:tr>
        <w:trPr>
          <w:trHeight w:hRule="exact" w:val="140"/>
        </w:trPr>
        <w:tc>
          <w:tcPr>
            <w:tcW w:type="dxa" w:w="1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18" w:lineRule="exact" w:before="12" w:after="0"/>
              <w:ind w:left="160" w:right="0" w:firstLine="0"/>
              <w:jc w:val="left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qualitativa</w:t>
            </w:r>
          </w:p>
        </w:tc>
        <w:tc>
          <w:tcPr>
            <w:tcW w:type="dxa" w:w="2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2" w:lineRule="exact" w:before="10" w:after="0"/>
              <w:ind w:left="0" w:right="294" w:firstLine="0"/>
              <w:jc w:val="right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de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título,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resumo,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2" w:lineRule="exact" w:before="10" w:after="0"/>
              <w:ind w:left="0" w:right="0" w:firstLine="0"/>
              <w:jc w:val="center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principal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e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suficiência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2" w:lineRule="exact" w:before="10" w:after="0"/>
              <w:ind w:left="78" w:right="0" w:firstLine="0"/>
              <w:jc w:val="left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sem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revisão</w:t>
            </w:r>
          </w:p>
        </w:tc>
        <w:tc>
          <w:tcPr>
            <w:tcW w:type="dxa" w:w="1560"/>
            <w:vMerge/>
            <w:tcBorders/>
          </w:tcPr>
          <w:p/>
        </w:tc>
        <w:tc>
          <w:tcPr>
            <w:tcW w:type="dxa" w:w="2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2" w:lineRule="exact" w:before="10" w:after="0"/>
              <w:ind w:left="0" w:right="124" w:firstLine="0"/>
              <w:jc w:val="right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apenas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mapeamento;</w:t>
            </w:r>
          </w:p>
        </w:tc>
      </w:tr>
      <w:tr>
        <w:trPr>
          <w:trHeight w:hRule="exact" w:val="140"/>
        </w:trPr>
        <w:tc>
          <w:tcPr>
            <w:tcW w:type="dxa" w:w="1560"/>
            <w:vMerge/>
            <w:tcBorders/>
          </w:tcPr>
          <w:p/>
        </w:tc>
        <w:tc>
          <w:tcPr>
            <w:tcW w:type="dxa" w:w="2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10" w:after="0"/>
              <w:ind w:left="0" w:right="386" w:firstLine="0"/>
              <w:jc w:val="right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palavras-chave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e</w:t>
            </w:r>
          </w:p>
        </w:tc>
        <w:tc>
          <w:tcPr>
            <w:tcW w:type="dxa" w:w="15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10" w:after="0"/>
              <w:ind w:left="44" w:right="0" w:firstLine="0"/>
              <w:jc w:val="left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documental.</w:t>
            </w:r>
          </w:p>
        </w:tc>
        <w:tc>
          <w:tcPr>
            <w:tcW w:type="dxa" w:w="14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10" w:after="0"/>
              <w:ind w:left="78" w:right="0" w:firstLine="0"/>
              <w:jc w:val="left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independente.</w:t>
            </w:r>
          </w:p>
        </w:tc>
        <w:tc>
          <w:tcPr>
            <w:tcW w:type="dxa" w:w="1560"/>
            <w:vMerge/>
            <w:tcBorders/>
          </w:tcPr>
          <w:p/>
        </w:tc>
        <w:tc>
          <w:tcPr>
            <w:tcW w:type="dxa" w:w="2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10" w:after="0"/>
              <w:ind w:left="0" w:right="72" w:firstLine="0"/>
              <w:jc w:val="right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9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excluídos,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incluindo</w:t>
            </w:r>
          </w:p>
        </w:tc>
      </w:tr>
      <w:tr>
        <w:trPr>
          <w:trHeight w:hRule="exact" w:val="140"/>
        </w:trPr>
        <w:tc>
          <w:tcPr>
            <w:tcW w:type="dxa" w:w="1560"/>
            <w:vMerge/>
            <w:tcBorders/>
          </w:tcPr>
          <w:p/>
        </w:tc>
        <w:tc>
          <w:tcPr>
            <w:tcW w:type="dxa" w:w="2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10" w:after="0"/>
              <w:ind w:left="0" w:right="302" w:firstLine="0"/>
              <w:jc w:val="right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campos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extraídos.</w:t>
            </w:r>
          </w:p>
        </w:tc>
        <w:tc>
          <w:tcPr>
            <w:tcW w:type="dxa" w:w="1560"/>
            <w:vMerge/>
            <w:tcBorders/>
          </w:tcPr>
          <w:p/>
        </w:tc>
        <w:tc>
          <w:tcPr>
            <w:tcW w:type="dxa" w:w="1560"/>
            <w:vMerge/>
            <w:tcBorders/>
          </w:tcPr>
          <w:p/>
        </w:tc>
        <w:tc>
          <w:tcPr>
            <w:tcW w:type="dxa" w:w="1560"/>
            <w:vMerge/>
            <w:tcBorders/>
          </w:tcPr>
          <w:p/>
        </w:tc>
        <w:tc>
          <w:tcPr>
            <w:tcW w:type="dxa" w:w="2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10" w:after="0"/>
              <w:ind w:left="0" w:right="132" w:firstLine="0"/>
              <w:jc w:val="right"/>
            </w:pP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1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pendência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de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texto</w:t>
            </w:r>
          </w:p>
        </w:tc>
      </w:tr>
    </w:tbl>
    <w:p>
      <w:pPr>
        <w:autoSpaceDN w:val="0"/>
        <w:autoSpaceDE w:val="0"/>
        <w:widowControl/>
        <w:spacing w:line="120" w:lineRule="exact" w:before="10" w:after="0"/>
        <w:ind w:left="0" w:right="234" w:firstLine="0"/>
        <w:jc w:val="right"/>
      </w:pPr>
      <w:r>
        <w:rPr>
          <w:rFonts w:ascii="LMRoman6" w:hAnsi="LMRoman6" w:eastAsia="LMRoman6"/>
          <w:b w:val="0"/>
          <w:i w:val="0"/>
          <w:color w:val="000000"/>
          <w:sz w:val="12"/>
        </w:rPr>
        <w:t>completo</w:t>
      </w:r>
      <w:r>
        <w:rPr>
          <w:rFonts w:ascii="LMRoman6" w:hAnsi="LMRoman6" w:eastAsia="LMRoman6"/>
          <w:b w:val="0"/>
          <w:i w:val="0"/>
          <w:color w:val="000000"/>
          <w:sz w:val="12"/>
        </w:rPr>
        <w:t>descartada.</w:t>
      </w:r>
    </w:p>
    <w:p>
      <w:pPr>
        <w:autoSpaceDN w:val="0"/>
        <w:autoSpaceDE w:val="0"/>
        <w:widowControl/>
        <w:spacing w:line="200" w:lineRule="exact" w:before="136" w:after="0"/>
        <w:ind w:left="0" w:right="3300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Fonte: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elaborado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pelo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autor.</w:t>
      </w:r>
    </w:p>
    <w:p>
      <w:pPr>
        <w:autoSpaceDN w:val="0"/>
        <w:autoSpaceDE w:val="0"/>
        <w:widowControl/>
        <w:spacing w:line="272" w:lineRule="exact" w:before="242" w:after="0"/>
        <w:ind w:left="3312" w:right="3168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Coleta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bruta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nas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três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fontes </w:t>
      </w:r>
      <w:r>
        <w:br/>
      </w:r>
      <w:r>
        <w:rPr>
          <w:rFonts w:ascii="LMRoman10" w:hAnsi="LMRoman10" w:eastAsia="LMRoman10"/>
          <w:b w:val="0"/>
          <w:i w:val="0"/>
          <w:color w:val="000000"/>
          <w:sz w:val="22"/>
        </w:rPr>
        <w:t>12.118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registros</w:t>
      </w:r>
    </w:p>
    <w:p>
      <w:pPr>
        <w:autoSpaceDN w:val="0"/>
        <w:autoSpaceDE w:val="0"/>
        <w:widowControl/>
        <w:spacing w:line="272" w:lineRule="exact" w:before="424" w:after="0"/>
        <w:ind w:left="2304" w:right="2016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Deduplicação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por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DOI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título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normalizados </w:t>
      </w:r>
      <w:r>
        <w:br/>
      </w:r>
      <w:r>
        <w:rPr>
          <w:rFonts w:ascii="LMRoman10" w:hAnsi="LMRoman10" w:eastAsia="LMRoman10"/>
          <w:b w:val="0"/>
          <w:i w:val="0"/>
          <w:color w:val="000000"/>
          <w:sz w:val="22"/>
        </w:rPr>
        <w:t>9.542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registros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únicos;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2.576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ocorrências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removidas</w:t>
      </w:r>
    </w:p>
    <w:p>
      <w:pPr>
        <w:autoSpaceDN w:val="0"/>
        <w:autoSpaceDE w:val="0"/>
        <w:widowControl/>
        <w:spacing w:line="270" w:lineRule="exact" w:before="426" w:after="0"/>
        <w:ind w:left="2736" w:right="2592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Pré-triagem,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auditoria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amostral </w:t>
      </w:r>
      <w:r>
        <w:br/>
      </w:r>
      <w:r>
        <w:rPr>
          <w:rFonts w:ascii="LMRoman10" w:hAnsi="LMRoman10" w:eastAsia="LMRoman10"/>
          <w:b w:val="0"/>
          <w:i w:val="0"/>
          <w:color w:val="000000"/>
          <w:sz w:val="22"/>
        </w:rPr>
        <w:t>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resolução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dos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casos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dúvida </w:t>
      </w:r>
      <w:r>
        <w:br/>
      </w:r>
      <w:r>
        <w:rPr>
          <w:rFonts w:ascii="LMRoman10" w:hAnsi="LMRoman10" w:eastAsia="LMRoman10"/>
          <w:b w:val="0"/>
          <w:i w:val="0"/>
          <w:color w:val="000000"/>
          <w:sz w:val="22"/>
        </w:rPr>
        <w:t>3.786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no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corte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inicial;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3.678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após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revisão</w:t>
      </w:r>
    </w:p>
    <w:p>
      <w:pPr>
        <w:autoSpaceDN w:val="0"/>
        <w:autoSpaceDE w:val="0"/>
        <w:widowControl/>
        <w:spacing w:line="270" w:lineRule="exact" w:before="428" w:after="0"/>
        <w:ind w:left="2160" w:right="1872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Alinhamento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determinístico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às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perguntas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pesquisa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137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registros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centrais;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3.541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não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selecionados</w:t>
      </w:r>
    </w:p>
    <w:p>
      <w:pPr>
        <w:autoSpaceDN w:val="0"/>
        <w:autoSpaceDE w:val="0"/>
        <w:widowControl/>
        <w:spacing w:line="272" w:lineRule="exact" w:before="432" w:after="0"/>
        <w:ind w:left="2448" w:right="2304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Auditoria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qualitativa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estruturada </w:t>
      </w:r>
      <w:r>
        <w:br/>
      </w:r>
      <w:r>
        <w:rPr>
          <w:rFonts w:ascii="LMRoman10" w:hAnsi="LMRoman10" w:eastAsia="LMRoman10"/>
          <w:b/>
          <w:i w:val="0"/>
          <w:color w:val="000000"/>
          <w:sz w:val="22"/>
        </w:rPr>
        <w:t>104</w:t>
      </w:r>
      <w:r>
        <w:rPr>
          <w:rFonts w:ascii="LMRoman10" w:hAnsi="LMRoman10" w:eastAsia="LMRoman10"/>
          <w:b/>
          <w:i w:val="0"/>
          <w:color w:val="000000"/>
          <w:sz w:val="22"/>
        </w:rPr>
        <w:t>registros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;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33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não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retidos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no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núcleo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final</w:t>
      </w:r>
    </w:p>
    <w:p>
      <w:pPr>
        <w:autoSpaceDN w:val="0"/>
        <w:autoSpaceDE w:val="0"/>
        <w:widowControl/>
        <w:spacing w:line="218" w:lineRule="exact" w:before="302" w:after="0"/>
        <w:ind w:left="0" w:right="2798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Figura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1.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Fluxo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seleção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corpus</w:t>
      </w:r>
    </w:p>
    <w:p>
      <w:pPr>
        <w:autoSpaceDN w:val="0"/>
        <w:autoSpaceDE w:val="0"/>
        <w:widowControl/>
        <w:spacing w:line="290" w:lineRule="exact" w:before="434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aderência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critérios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seleção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nível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confirmação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elegibilidade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completo.</w:t>
      </w:r>
    </w:p>
    <w:p>
      <w:pPr>
        <w:autoSpaceDN w:val="0"/>
        <w:autoSpaceDE w:val="0"/>
        <w:widowControl/>
        <w:spacing w:line="288" w:lineRule="exact" w:before="0" w:after="0"/>
        <w:ind w:left="260" w:right="28" w:firstLine="35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síntese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permanece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predominantemente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apoiada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título,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resumo,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palavras-chave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campos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estruturados,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razão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acesso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institucional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restrito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periódicos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consultadas.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duas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tarefas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pontuais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posteriores,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estudos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PDF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disponível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integralmente;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forneceram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evidências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específicas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incorporadas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citadas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individualmente.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é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indicado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explicitamente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estudo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altera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natureza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predominantemente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seleção,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extração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agregados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núcleo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104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registros.</w:t>
      </w:r>
    </w:p>
    <w:p>
      <w:pPr>
        <w:autoSpaceDN w:val="0"/>
        <w:autoSpaceDE w:val="0"/>
        <w:widowControl/>
        <w:spacing w:line="288" w:lineRule="exact" w:before="0" w:after="0"/>
        <w:ind w:left="260" w:right="24" w:firstLine="352"/>
        <w:jc w:val="both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 extração do núcleo final utilizou título, resumo, palavras-chave e campos estruturados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identificar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dimensões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sustentabilidade,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critérios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priorização,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métodos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apoio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à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decisão,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contexto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edificação,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ODS,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ESG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lacunas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relacionadas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instituições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públicas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ensino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superior.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unidade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contagem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único.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Campos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múltiplas 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categorias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foram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tratados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respostas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múltiplas,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mantendo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um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único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identificador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por</w:t>
      </w:r>
    </w:p>
    <w:p>
      <w:pPr>
        <w:autoSpaceDN w:val="0"/>
        <w:autoSpaceDE w:val="0"/>
        <w:widowControl/>
        <w:spacing w:line="238" w:lineRule="exact" w:before="414" w:after="0"/>
        <w:ind w:left="0" w:right="4508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9</w:t>
      </w:r>
    </w:p>
    <w:p>
      <w:pPr>
        <w:sectPr>
          <w:pgSz w:w="11906" w:h="16838"/>
          <w:pgMar w:top="860" w:right="1104" w:bottom="24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6"/>
        <w:ind w:left="0" w:right="0"/>
      </w:pPr>
    </w:p>
    <w:p>
      <w:pPr>
        <w:autoSpaceDN w:val="0"/>
        <w:autoSpaceDE w:val="0"/>
        <w:widowControl/>
        <w:spacing w:line="282" w:lineRule="exact" w:before="0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estudo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categoria.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Dimensão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critério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categorias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analiticamente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distintas: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dimensão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é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categoria-guarda-chuva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(técnica-operacional,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institucional,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ambiental,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ciclo de vida, econômica ou social), enquanto o critério é um atributo operacional específico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dentro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dimensão;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isso,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energia,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risco,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conforto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segurança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são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contabilizados como critérios de priorização e não duplicam a contagem das seis dimensões-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guarda-chuva.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definições,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regras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inclusão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exclusão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exemplos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categoria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detalhados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codebook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apoio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extração,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mantido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repositório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revisão.</w:t>
      </w:r>
    </w:p>
    <w:p>
      <w:pPr>
        <w:autoSpaceDN w:val="0"/>
        <w:tabs>
          <w:tab w:pos="842" w:val="left"/>
        </w:tabs>
        <w:autoSpaceDE w:val="0"/>
        <w:widowControl/>
        <w:spacing w:line="344" w:lineRule="exact" w:before="478" w:after="0"/>
        <w:ind w:left="260" w:right="0" w:firstLine="0"/>
        <w:jc w:val="left"/>
      </w:pP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 xml:space="preserve">4 </w:t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Estrutura</w:t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bibliométrica</w:t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do</w:t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campo</w:t>
      </w:r>
    </w:p>
    <w:p>
      <w:pPr>
        <w:autoSpaceDN w:val="0"/>
        <w:autoSpaceDE w:val="0"/>
        <w:widowControl/>
        <w:spacing w:line="288" w:lineRule="exact" w:before="214" w:after="0"/>
        <w:ind w:left="260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camada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bibliométrica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ampliada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utilizou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372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classificados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estrato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núcleo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forte.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estrato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exige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aderência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simultânea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objeto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manutenção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ou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gestão,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sustentabilidade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presença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método,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resultados,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além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resumo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suficiente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ausência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sinal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forte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exclusão.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conjunto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utilizado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representar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estrutura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campo;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núcleo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104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permaneceu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reservado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síntese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temática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diretamente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alinhada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às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perguntas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pesquisa.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372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possuíam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título,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resumo,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329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(88,4%)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continham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palavras-chave,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327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(87,9%)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tinham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91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(24,5%)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apresentavam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autores.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ausência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afiliações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referências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citadas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impediu,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respectivamente,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construção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uma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rede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colaboração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representativa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acoplamento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bibliográfico.</w:t>
      </w:r>
    </w:p>
    <w:p>
      <w:pPr>
        <w:autoSpaceDN w:val="0"/>
        <w:autoSpaceDE w:val="0"/>
        <w:widowControl/>
        <w:spacing w:line="290" w:lineRule="exact" w:before="0" w:after="0"/>
        <w:ind w:left="260" w:right="0" w:firstLine="352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palavras-chave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foram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normalizadas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quanto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caixa,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acentuação,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singular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variantes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ortográficas.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Expressões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equivalentes,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rFonts w:ascii="LMRoman12" w:hAnsi="LMRoman12" w:eastAsia="LMRoman12"/>
          <w:b w:val="0"/>
          <w:i/>
          <w:color w:val="000000"/>
          <w:sz w:val="24"/>
        </w:rPr>
        <w:t>building</w:t>
      </w:r>
      <w:r>
        <w:rPr>
          <w:rFonts w:ascii="LMRoman12" w:hAnsi="LMRoman12" w:eastAsia="LMRoman12"/>
          <w:b w:val="0"/>
          <w:i/>
          <w:color w:val="000000"/>
          <w:sz w:val="24"/>
        </w:rPr>
        <w:t>information</w:t>
      </w:r>
      <w:r>
        <w:rPr>
          <w:rFonts w:ascii="LMRoman12" w:hAnsi="LMRoman12" w:eastAsia="LMRoman12"/>
          <w:b w:val="0"/>
          <w:i/>
          <w:color w:val="000000"/>
          <w:sz w:val="24"/>
        </w:rPr>
        <w:t>modeling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/>
          <w:color w:val="000000"/>
          <w:sz w:val="24"/>
        </w:rPr>
        <w:t>building</w:t>
      </w:r>
      <w:r>
        <w:rPr>
          <w:rFonts w:ascii="LMRoman12" w:hAnsi="LMRoman12" w:eastAsia="LMRoman12"/>
          <w:b w:val="0"/>
          <w:i/>
          <w:color w:val="000000"/>
          <w:sz w:val="24"/>
        </w:rPr>
        <w:t>in-</w:t>
      </w:r>
      <w:r>
        <w:rPr>
          <w:rFonts w:ascii="LMRoman12" w:hAnsi="LMRoman12" w:eastAsia="LMRoman12"/>
          <w:b w:val="0"/>
          <w:i/>
          <w:color w:val="000000"/>
          <w:sz w:val="24"/>
        </w:rPr>
        <w:t>formation</w:t>
      </w:r>
      <w:r>
        <w:rPr>
          <w:rFonts w:ascii="LMRoman12" w:hAnsi="LMRoman12" w:eastAsia="LMRoman12"/>
          <w:b w:val="0"/>
          <w:i/>
          <w:color w:val="000000"/>
          <w:sz w:val="24"/>
        </w:rPr>
        <w:t>modelling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BIM,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reunidas.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construída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coocorrência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mesmo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normalizada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cosseno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frequências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marginais.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mapa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temático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agrupou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40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termos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frequentes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posicionou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grupos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segundo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centralidade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externa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densidade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evolução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temática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157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2010–2020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215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registros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2021–2026.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Essas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medidas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descrevem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relações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documentais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não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representam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qualidade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metodológica,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causalidade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força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evidência.</w:t>
      </w:r>
    </w:p>
    <w:p>
      <w:pPr>
        <w:autoSpaceDN w:val="0"/>
        <w:tabs>
          <w:tab w:pos="254" w:val="left"/>
          <w:tab w:pos="260" w:val="left"/>
          <w:tab w:pos="612" w:val="left"/>
        </w:tabs>
        <w:autoSpaceDE w:val="0"/>
        <w:widowControl/>
        <w:spacing w:line="288" w:lineRule="exact" w:before="2" w:after="0"/>
        <w:ind w:left="234" w:right="0" w:firstLine="0"/>
        <w:jc w:val="left"/>
      </w:pP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distribuiu-se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208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fontes,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indicando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dispersão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editorial.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núcleo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apro-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ximado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Bradford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reuniu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fontes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responsáveis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cerca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terço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registros. 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Energy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Buildings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apresentou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18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registros,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seguida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Journal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Building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 xml:space="preserve">Engineering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(15),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 xml:space="preserve"> Facilities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(14),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 xml:space="preserve"> Lecture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Notes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Civil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Engineering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(11),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 xml:space="preserve"> IOP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Conference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Series: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 xml:space="preserve">Earth 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Environmental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Science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(10)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Sustainability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(10).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presença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simultânea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periódicos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energia,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engenharia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edificações,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gestão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facilidades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sustentabilidade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confirma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natureza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interdisciplinar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campo.</w:t>
      </w:r>
    </w:p>
    <w:p>
      <w:pPr>
        <w:autoSpaceDN w:val="0"/>
        <w:autoSpaceDE w:val="0"/>
        <w:widowControl/>
        <w:spacing w:line="288" w:lineRule="exact" w:before="2" w:after="0"/>
        <w:ind w:left="260" w:right="0" w:firstLine="352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mapa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temático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identificou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eixos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maior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centralidade.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primeiro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articulou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BIM,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desempenho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edificação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/>
          <w:color w:val="000000"/>
          <w:sz w:val="24"/>
        </w:rPr>
        <w:t>digital</w:t>
      </w:r>
      <w:r>
        <w:rPr>
          <w:rFonts w:ascii="LMRoman12" w:hAnsi="LMRoman12" w:eastAsia="LMRoman12"/>
          <w:b w:val="0"/>
          <w:i/>
          <w:color w:val="000000"/>
          <w:sz w:val="24"/>
        </w:rPr>
        <w:t>twins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centralidade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densidade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superiores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às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medianas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campo.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segundo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aproximou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gestão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facilidades,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edifícios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inteligentes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manutenção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preditiva,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apresentando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elevada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centralidade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menor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densidade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interna.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grupos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relacionados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edificações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verdes,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avaliação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ciclo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desenvolvimento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sustentável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apresentaram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maior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especialização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menor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integração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demais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temas.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Energia,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emissões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ocuparam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posição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menos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densa,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indicando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conjunto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ainda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heterogêneo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vocabulário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indexado.</w:t>
      </w:r>
    </w:p>
    <w:p>
      <w:pPr>
        <w:autoSpaceDN w:val="0"/>
        <w:autoSpaceDE w:val="0"/>
        <w:widowControl/>
        <w:spacing w:line="288" w:lineRule="exact" w:before="0" w:after="0"/>
        <w:ind w:left="260" w:right="0" w:firstLine="352"/>
        <w:jc w:val="left"/>
      </w:pP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rede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normalizada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reforçou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posição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BIM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gestão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facilidades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 xml:space="preserve">elementos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 conexão.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BIM apareceu associado a gestão de facilidades,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 xml:space="preserve"> digital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twins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, manutenção pre-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ditiva,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operação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desempenho;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gestão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facilidades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conectou-se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desempenho,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 xml:space="preserve">operação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manutenção,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gestão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ativos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coisas.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agrupamento,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avaliação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ciclo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aproximou-se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edificações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residenciais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desenvolvimento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sustentável.</w:t>
      </w:r>
    </w:p>
    <w:p>
      <w:pPr>
        <w:autoSpaceDN w:val="0"/>
        <w:autoSpaceDE w:val="0"/>
        <w:widowControl/>
        <w:spacing w:line="238" w:lineRule="exact" w:before="376" w:after="0"/>
        <w:ind w:left="0" w:right="448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10</w:t>
      </w:r>
    </w:p>
    <w:p>
      <w:pPr>
        <w:sectPr>
          <w:pgSz w:w="11906" w:h="16838"/>
          <w:pgMar w:top="876" w:right="1068" w:bottom="24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46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3111500</wp:posOffset>
            </wp:positionH>
            <wp:positionV relativeFrom="page">
              <wp:posOffset>5880100</wp:posOffset>
            </wp:positionV>
            <wp:extent cx="215900" cy="215900"/>
            <wp:wrapNone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5900" cy="2159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1739900</wp:posOffset>
            </wp:positionH>
            <wp:positionV relativeFrom="page">
              <wp:posOffset>7708900</wp:posOffset>
            </wp:positionV>
            <wp:extent cx="279400" cy="266700"/>
            <wp:wrapNone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79400" cy="2667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6400800</wp:posOffset>
            </wp:positionH>
            <wp:positionV relativeFrom="page">
              <wp:posOffset>8432800</wp:posOffset>
            </wp:positionV>
            <wp:extent cx="165100" cy="177800"/>
            <wp:wrapNone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65100" cy="177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3327400</wp:posOffset>
            </wp:positionH>
            <wp:positionV relativeFrom="page">
              <wp:posOffset>7353300</wp:posOffset>
            </wp:positionV>
            <wp:extent cx="165100" cy="165100"/>
            <wp:wrapNone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65100" cy="1651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20.0" w:type="dxa"/>
      </w:tblPr>
      <w:tblGrid>
        <w:gridCol w:w="3087"/>
        <w:gridCol w:w="3087"/>
        <w:gridCol w:w="3087"/>
      </w:tblGrid>
      <w:tr>
        <w:trPr>
          <w:trHeight w:hRule="exact" w:val="300"/>
        </w:trPr>
        <w:tc>
          <w:tcPr>
            <w:tcW w:type="dxa" w:w="89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0" w:after="0"/>
              <w:ind w:left="0" w:right="76" w:firstLine="0"/>
              <w:jc w:val="right"/>
            </w:pPr>
            <w:r>
              <w:rPr>
                <w:rFonts w:ascii="DejaVuSans" w:hAnsi="DejaVuSans" w:eastAsia="DejaVuSans"/>
                <w:b w:val="0"/>
                <w:i w:val="0"/>
                <w:color w:val="000000"/>
                <w:sz w:val="18"/>
              </w:rPr>
              <w:t>Fontes mais frequentes no corpus bibliométrico</w:t>
            </w:r>
          </w:p>
        </w:tc>
      </w:tr>
      <w:tr>
        <w:trPr>
          <w:trHeight w:hRule="exact" w:val="4940"/>
        </w:trPr>
        <w:tc>
          <w:tcPr>
            <w:tcW w:type="dxa" w:w="45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2" w:lineRule="exact" w:before="188" w:after="0"/>
              <w:ind w:left="144" w:right="26" w:firstLine="0"/>
              <w:jc w:val="right"/>
            </w:pPr>
            <w:r>
              <w:rPr>
                <w:w w:val="101.64293289184569"/>
                <w:rFonts w:ascii="DejaVuSans" w:hAnsi="DejaVuSans" w:eastAsia="DejaVuSans"/>
                <w:b w:val="0"/>
                <w:i w:val="0"/>
                <w:color w:val="000000"/>
                <w:sz w:val="15"/>
              </w:rPr>
              <w:t xml:space="preserve">Energy and Buildings </w:t>
            </w:r>
            <w:r>
              <w:br/>
            </w:r>
            <w:r>
              <w:rPr>
                <w:w w:val="101.64293289184569"/>
                <w:rFonts w:ascii="DejaVuSans" w:hAnsi="DejaVuSans" w:eastAsia="DejaVuSans"/>
                <w:b w:val="0"/>
                <w:i w:val="0"/>
                <w:color w:val="000000"/>
                <w:sz w:val="15"/>
              </w:rPr>
              <w:t xml:space="preserve">Journal of Building Engineering </w:t>
            </w:r>
            <w:r>
              <w:br/>
            </w:r>
            <w:r>
              <w:rPr>
                <w:w w:val="101.64293289184569"/>
                <w:rFonts w:ascii="DejaVuSans" w:hAnsi="DejaVuSans" w:eastAsia="DejaVuSans"/>
                <w:b w:val="0"/>
                <w:i w:val="0"/>
                <w:color w:val="000000"/>
                <w:sz w:val="15"/>
              </w:rPr>
              <w:t xml:space="preserve">Facilities </w:t>
            </w:r>
            <w:r>
              <w:br/>
            </w:r>
            <w:r>
              <w:rPr>
                <w:w w:val="101.64293289184569"/>
                <w:rFonts w:ascii="DejaVuSans" w:hAnsi="DejaVuSans" w:eastAsia="DejaVuSans"/>
                <w:b w:val="0"/>
                <w:i w:val="0"/>
                <w:color w:val="000000"/>
                <w:sz w:val="15"/>
              </w:rPr>
              <w:t xml:space="preserve">Lecture Notes in Civil Engineering </w:t>
            </w:r>
            <w:r>
              <w:br/>
            </w:r>
            <w:r>
              <w:rPr>
                <w:w w:val="101.64293289184569"/>
                <w:rFonts w:ascii="DejaVuSans" w:hAnsi="DejaVuSans" w:eastAsia="DejaVuSans"/>
                <w:b w:val="0"/>
                <w:i w:val="0"/>
                <w:color w:val="000000"/>
                <w:sz w:val="15"/>
              </w:rPr>
              <w:t xml:space="preserve">Sustainability Switzerland </w:t>
            </w:r>
            <w:r>
              <w:br/>
            </w:r>
            <w:r>
              <w:rPr>
                <w:w w:val="101.64293289184569"/>
                <w:rFonts w:ascii="DejaVuSans" w:hAnsi="DejaVuSans" w:eastAsia="DejaVuSans"/>
                <w:b w:val="0"/>
                <w:i w:val="0"/>
                <w:color w:val="000000"/>
                <w:sz w:val="15"/>
              </w:rPr>
              <w:t xml:space="preserve">Iop Conference Series Earth and Environmental Science </w:t>
            </w:r>
            <w:r>
              <w:rPr>
                <w:w w:val="101.64293289184569"/>
                <w:rFonts w:ascii="DejaVuSans" w:hAnsi="DejaVuSans" w:eastAsia="DejaVuSans"/>
                <w:b w:val="0"/>
                <w:i w:val="0"/>
                <w:color w:val="000000"/>
                <w:sz w:val="15"/>
              </w:rPr>
              <w:t xml:space="preserve">Journal of Facilities Management </w:t>
            </w:r>
            <w:r>
              <w:br/>
            </w:r>
            <w:r>
              <w:rPr>
                <w:w w:val="101.64293289184569"/>
                <w:rFonts w:ascii="DejaVuSans" w:hAnsi="DejaVuSans" w:eastAsia="DejaVuSans"/>
                <w:b w:val="0"/>
                <w:i w:val="0"/>
                <w:color w:val="000000"/>
                <w:sz w:val="15"/>
              </w:rPr>
              <w:t xml:space="preserve">Buildings </w:t>
            </w:r>
            <w:r>
              <w:br/>
            </w:r>
            <w:r>
              <w:rPr>
                <w:w w:val="101.64293289184569"/>
                <w:rFonts w:ascii="DejaVuSans" w:hAnsi="DejaVuSans" w:eastAsia="DejaVuSans"/>
                <w:b w:val="0"/>
                <w:i w:val="0"/>
                <w:color w:val="000000"/>
                <w:sz w:val="15"/>
              </w:rPr>
              <w:t xml:space="preserve">Journal of Cleaner Production </w:t>
            </w:r>
            <w:r>
              <w:br/>
            </w:r>
            <w:r>
              <w:rPr>
                <w:w w:val="101.64293289184569"/>
                <w:rFonts w:ascii="DejaVuSans" w:hAnsi="DejaVuSans" w:eastAsia="DejaVuSans"/>
                <w:b w:val="0"/>
                <w:i w:val="0"/>
                <w:color w:val="000000"/>
                <w:sz w:val="15"/>
              </w:rPr>
              <w:t xml:space="preserve">Smart and Sustainable Built Environment </w:t>
            </w:r>
            <w:r>
              <w:br/>
            </w:r>
            <w:r>
              <w:rPr>
                <w:w w:val="101.64293289184569"/>
                <w:rFonts w:ascii="DejaVuSans" w:hAnsi="DejaVuSans" w:eastAsia="DejaVuSans"/>
                <w:b w:val="0"/>
                <w:i w:val="0"/>
                <w:color w:val="000000"/>
                <w:sz w:val="15"/>
              </w:rPr>
              <w:t xml:space="preserve">Journal of Green Building </w:t>
            </w:r>
            <w:r>
              <w:br/>
            </w:r>
            <w:r>
              <w:rPr>
                <w:w w:val="101.64293289184569"/>
                <w:rFonts w:ascii="DejaVuSans" w:hAnsi="DejaVuSans" w:eastAsia="DejaVuSans"/>
                <w:b w:val="0"/>
                <w:i w:val="0"/>
                <w:color w:val="000000"/>
                <w:sz w:val="15"/>
              </w:rPr>
              <w:t xml:space="preserve">Energies </w:t>
            </w:r>
            <w:r>
              <w:br/>
            </w:r>
            <w:r>
              <w:rPr>
                <w:w w:val="101.64293289184569"/>
                <w:rFonts w:ascii="DejaVuSans" w:hAnsi="DejaVuSans" w:eastAsia="DejaVuSans"/>
                <w:b w:val="0"/>
                <w:i w:val="0"/>
                <w:color w:val="000000"/>
                <w:sz w:val="15"/>
              </w:rPr>
              <w:t xml:space="preserve">International Journal of Construction Management </w:t>
            </w:r>
            <w:r>
              <w:br/>
            </w:r>
            <w:r>
              <w:rPr>
                <w:w w:val="101.64293289184569"/>
                <w:rFonts w:ascii="DejaVuSans" w:hAnsi="DejaVuSans" w:eastAsia="DejaVuSans"/>
                <w:b w:val="0"/>
                <w:i w:val="0"/>
                <w:color w:val="000000"/>
                <w:sz w:val="15"/>
              </w:rPr>
              <w:t xml:space="preserve">Malaysian Construction Research Journal </w:t>
            </w:r>
            <w:r>
              <w:br/>
            </w:r>
            <w:r>
              <w:rPr>
                <w:w w:val="101.64293289184569"/>
                <w:rFonts w:ascii="DejaVuSans" w:hAnsi="DejaVuSans" w:eastAsia="DejaVuSans"/>
                <w:b w:val="0"/>
                <w:i w:val="0"/>
                <w:color w:val="000000"/>
                <w:sz w:val="15"/>
              </w:rPr>
              <w:t>Automation in Construction</w:t>
            </w:r>
          </w:p>
        </w:tc>
        <w:tc>
          <w:tcPr>
            <w:tcW w:type="dxa" w:w="446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0.0" w:type="dxa"/>
            </w:tblPr>
            <w:tblGrid>
              <w:gridCol w:w="297"/>
              <w:gridCol w:w="297"/>
              <w:gridCol w:w="297"/>
              <w:gridCol w:w="297"/>
              <w:gridCol w:w="297"/>
              <w:gridCol w:w="297"/>
              <w:gridCol w:w="297"/>
              <w:gridCol w:w="297"/>
              <w:gridCol w:w="297"/>
              <w:gridCol w:w="297"/>
              <w:gridCol w:w="297"/>
              <w:gridCol w:w="297"/>
              <w:gridCol w:w="297"/>
              <w:gridCol w:w="297"/>
              <w:gridCol w:w="297"/>
            </w:tblGrid>
            <w:tr>
              <w:trPr>
                <w:trHeight w:hRule="exact" w:val="226"/>
              </w:trPr>
              <w:tc>
                <w:tcPr>
                  <w:tcW w:type="dxa" w:w="4330"/>
                  <w:gridSpan w:val="15"/>
                  <w:tcBorders>
                    <w:start w:sz="4.435328006744385" w:val="single" w:color="#000000"/>
                    <w:top w:sz="4.435328006744385" w:val="single" w:color="#000000"/>
                    <w:end w:sz="4.435328006744385" w:val="single" w:color="#000000"/>
                    <w:bottom w:sz="3.8809118270874023" w:val="single" w:color="#000000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120"/>
              </w:trPr>
              <w:tc>
                <w:tcPr>
                  <w:tcW w:type="dxa" w:w="4330"/>
                  <w:gridSpan w:val="15"/>
                  <w:vMerge w:val="restart"/>
                  <w:tcBorders>
                    <w:start w:sz="4.435328006744385" w:val="single" w:color="#000000"/>
                    <w:top w:sz="3.8809118270874023" w:val="single" w:color="#000000"/>
                    <w:end w:sz="3.8809118270874023" w:val="single" w:color="#000000"/>
                    <w:bottom w:sz="3.8809118270874023" w:val="single" w:color="#000000"/>
                  </w:tcBorders>
                  <w:shd w:fill="b7b7b7"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60"/>
              </w:trPr>
              <w:tc>
                <w:tcPr>
                  <w:tcW w:type="dxa" w:w="4455"/>
                  <w:gridSpan w:val="15"/>
                  <w:vMerge/>
                  <w:tcBorders>
                    <w:start w:sz="4.435328006744385" w:val="single" w:color="#000000"/>
                    <w:top w:sz="3.8809118270874023" w:val="single" w:color="#000000"/>
                    <w:end w:sz="3.8809118270874023" w:val="single" w:color="#000000"/>
                    <w:bottom w:sz="3.8809118270874023" w:val="single" w:color="#000000"/>
                  </w:tcBorders>
                </w:tcPr>
                <w:p/>
              </w:tc>
            </w:tr>
            <w:tr>
              <w:trPr>
                <w:trHeight w:hRule="exact" w:val="122"/>
              </w:trPr>
              <w:tc>
                <w:tcPr>
                  <w:tcW w:type="dxa" w:w="4330"/>
                  <w:gridSpan w:val="15"/>
                  <w:vMerge w:val="restart"/>
                  <w:tcBorders>
                    <w:start w:sz="4.435328006744385" w:val="single" w:color="#000000"/>
                    <w:top w:sz="3.8809118270874023" w:val="single" w:color="#000000"/>
                    <w:end w:sz="3.8809118270874023" w:val="single" w:color="#000000"/>
                    <w:bottom w:sz="3.8809118270874023" w:val="single" w:color="#000000"/>
                  </w:tcBorders>
                  <w:shd w:fill="b7b7b7"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60"/>
              </w:trPr>
              <w:tc>
                <w:tcPr>
                  <w:tcW w:type="dxa" w:w="4455"/>
                  <w:gridSpan w:val="15"/>
                  <w:vMerge/>
                  <w:tcBorders>
                    <w:start w:sz="4.435328006744385" w:val="single" w:color="#000000"/>
                    <w:top w:sz="3.8809118270874023" w:val="single" w:color="#000000"/>
                    <w:end w:sz="3.8809118270874023" w:val="single" w:color="#000000"/>
                    <w:bottom w:sz="3.8809118270874023" w:val="single" w:color="#000000"/>
                  </w:tcBorders>
                </w:tcPr>
                <w:p/>
              </w:tc>
            </w:tr>
            <w:tr>
              <w:trPr>
                <w:trHeight w:hRule="exact" w:val="122"/>
              </w:trPr>
              <w:tc>
                <w:tcPr>
                  <w:tcW w:type="dxa" w:w="4330"/>
                  <w:gridSpan w:val="15"/>
                  <w:vMerge w:val="restart"/>
                  <w:tcBorders>
                    <w:start w:sz="4.435328006744385" w:val="single" w:color="#000000"/>
                    <w:top w:sz="3.8809118270874023" w:val="single" w:color="#000000"/>
                    <w:end w:sz="3.8809118270874023" w:val="single" w:color="#000000"/>
                    <w:bottom w:sz="3.8809118270874023" w:val="single" w:color="#000000"/>
                  </w:tcBorders>
                  <w:shd w:fill="b7b7b7"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60"/>
              </w:trPr>
              <w:tc>
                <w:tcPr>
                  <w:tcW w:type="dxa" w:w="4455"/>
                  <w:gridSpan w:val="15"/>
                  <w:vMerge/>
                  <w:tcBorders>
                    <w:start w:sz="4.435328006744385" w:val="single" w:color="#000000"/>
                    <w:top w:sz="3.8809118270874023" w:val="single" w:color="#000000"/>
                    <w:end w:sz="3.8809118270874023" w:val="single" w:color="#000000"/>
                    <w:bottom w:sz="3.8809118270874023" w:val="single" w:color="#000000"/>
                  </w:tcBorders>
                </w:tcPr>
                <w:p/>
              </w:tc>
            </w:tr>
            <w:tr>
              <w:trPr>
                <w:trHeight w:hRule="exact" w:val="120"/>
              </w:trPr>
              <w:tc>
                <w:tcPr>
                  <w:tcW w:type="dxa" w:w="4330"/>
                  <w:gridSpan w:val="15"/>
                  <w:vMerge w:val="restart"/>
                  <w:tcBorders>
                    <w:start w:sz="4.435328006744385" w:val="single" w:color="#000000"/>
                    <w:top w:sz="3.8809118270874023" w:val="single" w:color="#000000"/>
                    <w:end w:sz="3.8809118270874023" w:val="single" w:color="#000000"/>
                    <w:bottom w:sz="3.8809118270874023" w:val="single" w:color="#000000"/>
                  </w:tcBorders>
                  <w:shd w:fill="b7b7b7"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62"/>
              </w:trPr>
              <w:tc>
                <w:tcPr>
                  <w:tcW w:type="dxa" w:w="4455"/>
                  <w:gridSpan w:val="15"/>
                  <w:vMerge/>
                  <w:tcBorders>
                    <w:start w:sz="4.435328006744385" w:val="single" w:color="#000000"/>
                    <w:top w:sz="3.8809118270874023" w:val="single" w:color="#000000"/>
                    <w:end w:sz="3.8809118270874023" w:val="single" w:color="#000000"/>
                    <w:bottom w:sz="3.8809118270874023" w:val="single" w:color="#000000"/>
                  </w:tcBorders>
                </w:tcPr>
                <w:p/>
              </w:tc>
            </w:tr>
            <w:tr>
              <w:trPr>
                <w:trHeight w:hRule="exact" w:val="122"/>
              </w:trPr>
              <w:tc>
                <w:tcPr>
                  <w:tcW w:type="dxa" w:w="4330"/>
                  <w:gridSpan w:val="15"/>
                  <w:vMerge w:val="restart"/>
                  <w:tcBorders>
                    <w:start w:sz="4.435328006744385" w:val="single" w:color="#000000"/>
                    <w:top w:sz="3.8809118270874023" w:val="single" w:color="#000000"/>
                    <w:end w:sz="3.8809118270874023" w:val="single" w:color="#000000"/>
                    <w:bottom w:sz="3.8809118270874023" w:val="single" w:color="#000000"/>
                  </w:tcBorders>
                  <w:shd w:fill="b7b7b7"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60"/>
              </w:trPr>
              <w:tc>
                <w:tcPr>
                  <w:tcW w:type="dxa" w:w="4455"/>
                  <w:gridSpan w:val="15"/>
                  <w:vMerge/>
                  <w:tcBorders>
                    <w:start w:sz="4.435328006744385" w:val="single" w:color="#000000"/>
                    <w:top w:sz="3.8809118270874023" w:val="single" w:color="#000000"/>
                    <w:end w:sz="3.8809118270874023" w:val="single" w:color="#000000"/>
                    <w:bottom w:sz="3.8809118270874023" w:val="single" w:color="#000000"/>
                  </w:tcBorders>
                </w:tcPr>
                <w:p/>
              </w:tc>
            </w:tr>
            <w:tr>
              <w:trPr>
                <w:trHeight w:hRule="exact" w:val="120"/>
              </w:trPr>
              <w:tc>
                <w:tcPr>
                  <w:tcW w:type="dxa" w:w="4330"/>
                  <w:gridSpan w:val="15"/>
                  <w:vMerge w:val="restart"/>
                  <w:tcBorders>
                    <w:start w:sz="4.435328006744385" w:val="single" w:color="#000000"/>
                    <w:top w:sz="3.8809118270874023" w:val="single" w:color="#000000"/>
                    <w:end w:sz="3.8809118270874023" w:val="single" w:color="#000000"/>
                    <w:bottom w:sz="3.8809118270874023" w:val="single" w:color="#000000"/>
                  </w:tcBorders>
                  <w:shd w:fill="b7b7b7"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62"/>
              </w:trPr>
              <w:tc>
                <w:tcPr>
                  <w:tcW w:type="dxa" w:w="4455"/>
                  <w:gridSpan w:val="15"/>
                  <w:vMerge/>
                  <w:tcBorders>
                    <w:start w:sz="4.435328006744385" w:val="single" w:color="#000000"/>
                    <w:top w:sz="3.8809118270874023" w:val="single" w:color="#000000"/>
                    <w:end w:sz="3.8809118270874023" w:val="single" w:color="#000000"/>
                    <w:bottom w:sz="3.8809118270874023" w:val="single" w:color="#000000"/>
                  </w:tcBorders>
                </w:tcPr>
                <w:p/>
              </w:tc>
            </w:tr>
            <w:tr>
              <w:trPr>
                <w:trHeight w:hRule="exact" w:val="120"/>
              </w:trPr>
              <w:tc>
                <w:tcPr>
                  <w:tcW w:type="dxa" w:w="4330"/>
                  <w:gridSpan w:val="15"/>
                  <w:vMerge w:val="restart"/>
                  <w:tcBorders>
                    <w:start w:sz="4.435328006744385" w:val="single" w:color="#000000"/>
                    <w:top w:sz="3.8809118270874023" w:val="single" w:color="#000000"/>
                    <w:end w:sz="3.8809118270874023" w:val="single" w:color="#000000"/>
                    <w:bottom w:sz="3.8809118270874023" w:val="single" w:color="#000000"/>
                  </w:tcBorders>
                  <w:shd w:fill="b7b7b7"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60"/>
              </w:trPr>
              <w:tc>
                <w:tcPr>
                  <w:tcW w:type="dxa" w:w="4455"/>
                  <w:gridSpan w:val="15"/>
                  <w:vMerge/>
                  <w:tcBorders>
                    <w:start w:sz="4.435328006744385" w:val="single" w:color="#000000"/>
                    <w:top w:sz="3.8809118270874023" w:val="single" w:color="#000000"/>
                    <w:end w:sz="3.8809118270874023" w:val="single" w:color="#000000"/>
                    <w:bottom w:sz="3.8809118270874023" w:val="single" w:color="#000000"/>
                  </w:tcBorders>
                </w:tcPr>
                <w:p/>
              </w:tc>
            </w:tr>
            <w:tr>
              <w:trPr>
                <w:trHeight w:hRule="exact" w:val="120"/>
              </w:trPr>
              <w:tc>
                <w:tcPr>
                  <w:tcW w:type="dxa" w:w="4330"/>
                  <w:gridSpan w:val="15"/>
                  <w:vMerge w:val="restart"/>
                  <w:tcBorders>
                    <w:start w:sz="4.435328006744385" w:val="single" w:color="#000000"/>
                    <w:top w:sz="3.8809118270874023" w:val="single" w:color="#000000"/>
                    <w:end w:sz="3.8809118270874023" w:val="single" w:color="#000000"/>
                    <w:bottom w:sz="3.8809118270874023" w:val="single" w:color="#000000"/>
                  </w:tcBorders>
                  <w:shd w:fill="b7b7b7"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60"/>
              </w:trPr>
              <w:tc>
                <w:tcPr>
                  <w:tcW w:type="dxa" w:w="4455"/>
                  <w:gridSpan w:val="15"/>
                  <w:vMerge/>
                  <w:tcBorders>
                    <w:start w:sz="4.435328006744385" w:val="single" w:color="#000000"/>
                    <w:top w:sz="3.8809118270874023" w:val="single" w:color="#000000"/>
                    <w:end w:sz="3.8809118270874023" w:val="single" w:color="#000000"/>
                    <w:bottom w:sz="3.8809118270874023" w:val="single" w:color="#000000"/>
                  </w:tcBorders>
                </w:tcPr>
                <w:p/>
              </w:tc>
            </w:tr>
            <w:tr>
              <w:trPr>
                <w:trHeight w:hRule="exact" w:val="122"/>
              </w:trPr>
              <w:tc>
                <w:tcPr>
                  <w:tcW w:type="dxa" w:w="4330"/>
                  <w:gridSpan w:val="15"/>
                  <w:vMerge w:val="restart"/>
                  <w:tcBorders>
                    <w:start w:sz="4.435328006744385" w:val="single" w:color="#000000"/>
                    <w:top w:sz="3.8809118270874023" w:val="single" w:color="#000000"/>
                    <w:end w:sz="3.8809118270874023" w:val="single" w:color="#000000"/>
                    <w:bottom w:sz="3.8809118270874023" w:val="single" w:color="#000000"/>
                  </w:tcBorders>
                  <w:shd w:fill="b7b7b7"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60"/>
              </w:trPr>
              <w:tc>
                <w:tcPr>
                  <w:tcW w:type="dxa" w:w="4455"/>
                  <w:gridSpan w:val="15"/>
                  <w:vMerge/>
                  <w:tcBorders>
                    <w:start w:sz="4.435328006744385" w:val="single" w:color="#000000"/>
                    <w:top w:sz="3.8809118270874023" w:val="single" w:color="#000000"/>
                    <w:end w:sz="3.8809118270874023" w:val="single" w:color="#000000"/>
                    <w:bottom w:sz="3.8809118270874023" w:val="single" w:color="#000000"/>
                  </w:tcBorders>
                </w:tcPr>
                <w:p/>
              </w:tc>
            </w:tr>
            <w:tr>
              <w:trPr>
                <w:trHeight w:hRule="exact" w:val="122"/>
              </w:trPr>
              <w:tc>
                <w:tcPr>
                  <w:tcW w:type="dxa" w:w="4330"/>
                  <w:gridSpan w:val="15"/>
                  <w:vMerge w:val="restart"/>
                  <w:tcBorders>
                    <w:start w:sz="4.435328006744385" w:val="single" w:color="#000000"/>
                    <w:top w:sz="3.8809118270874023" w:val="single" w:color="#000000"/>
                    <w:end w:sz="3.8809118270874023" w:val="single" w:color="#000000"/>
                    <w:bottom w:sz="3.8809118270874023" w:val="single" w:color="#000000"/>
                  </w:tcBorders>
                  <w:shd w:fill="b7b7b7"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60"/>
              </w:trPr>
              <w:tc>
                <w:tcPr>
                  <w:tcW w:type="dxa" w:w="4455"/>
                  <w:gridSpan w:val="15"/>
                  <w:vMerge/>
                  <w:tcBorders>
                    <w:start w:sz="4.435328006744385" w:val="single" w:color="#000000"/>
                    <w:top w:sz="3.8809118270874023" w:val="single" w:color="#000000"/>
                    <w:end w:sz="3.8809118270874023" w:val="single" w:color="#000000"/>
                    <w:bottom w:sz="3.8809118270874023" w:val="single" w:color="#000000"/>
                  </w:tcBorders>
                </w:tcPr>
                <w:p/>
              </w:tc>
            </w:tr>
            <w:tr>
              <w:trPr>
                <w:trHeight w:hRule="exact" w:val="122"/>
              </w:trPr>
              <w:tc>
                <w:tcPr>
                  <w:tcW w:type="dxa" w:w="4330"/>
                  <w:gridSpan w:val="15"/>
                  <w:vMerge w:val="restart"/>
                  <w:tcBorders>
                    <w:start w:sz="4.435328006744385" w:val="single" w:color="#000000"/>
                    <w:top w:sz="3.8809118270874023" w:val="single" w:color="#000000"/>
                    <w:end w:sz="3.8809118270874023" w:val="single" w:color="#000000"/>
                    <w:bottom w:sz="3.8809118270874023" w:val="single" w:color="#000000"/>
                  </w:tcBorders>
                  <w:shd w:fill="b7b7b7"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60"/>
              </w:trPr>
              <w:tc>
                <w:tcPr>
                  <w:tcW w:type="dxa" w:w="4455"/>
                  <w:gridSpan w:val="15"/>
                  <w:vMerge/>
                  <w:tcBorders>
                    <w:start w:sz="4.435328006744385" w:val="single" w:color="#000000"/>
                    <w:top w:sz="3.8809118270874023" w:val="single" w:color="#000000"/>
                    <w:end w:sz="3.8809118270874023" w:val="single" w:color="#000000"/>
                    <w:bottom w:sz="3.8809118270874023" w:val="single" w:color="#000000"/>
                  </w:tcBorders>
                </w:tcPr>
                <w:p/>
              </w:tc>
            </w:tr>
            <w:tr>
              <w:trPr>
                <w:trHeight w:hRule="exact" w:val="124"/>
              </w:trPr>
              <w:tc>
                <w:tcPr>
                  <w:tcW w:type="dxa" w:w="4330"/>
                  <w:gridSpan w:val="15"/>
                  <w:vMerge w:val="restart"/>
                  <w:tcBorders>
                    <w:start w:sz="4.435328006744385" w:val="single" w:color="#000000"/>
                    <w:top w:sz="3.8809118270874023" w:val="single" w:color="#000000"/>
                    <w:end w:sz="3.8809118270874023" w:val="single" w:color="#000000"/>
                    <w:bottom w:sz="3.8809118270874023" w:val="single" w:color="#000000"/>
                  </w:tcBorders>
                  <w:shd w:fill="b7b7b7"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60"/>
              </w:trPr>
              <w:tc>
                <w:tcPr>
                  <w:tcW w:type="dxa" w:w="4455"/>
                  <w:gridSpan w:val="15"/>
                  <w:vMerge/>
                  <w:tcBorders>
                    <w:start w:sz="4.435328006744385" w:val="single" w:color="#000000"/>
                    <w:top w:sz="3.8809118270874023" w:val="single" w:color="#000000"/>
                    <w:end w:sz="3.8809118270874023" w:val="single" w:color="#000000"/>
                    <w:bottom w:sz="3.8809118270874023" w:val="single" w:color="#000000"/>
                  </w:tcBorders>
                </w:tcPr>
                <w:p/>
              </w:tc>
            </w:tr>
            <w:tr>
              <w:trPr>
                <w:trHeight w:hRule="exact" w:val="122"/>
              </w:trPr>
              <w:tc>
                <w:tcPr>
                  <w:tcW w:type="dxa" w:w="4330"/>
                  <w:gridSpan w:val="15"/>
                  <w:vMerge w:val="restart"/>
                  <w:tcBorders>
                    <w:start w:sz="4.435328006744385" w:val="single" w:color="#000000"/>
                    <w:top w:sz="3.8809118270874023" w:val="single" w:color="#000000"/>
                    <w:end w:sz="3.8809118270874023" w:val="single" w:color="#000000"/>
                    <w:bottom w:sz="3.8809118270874023" w:val="single" w:color="#000000"/>
                  </w:tcBorders>
                  <w:shd w:fill="b7b7b7"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60"/>
              </w:trPr>
              <w:tc>
                <w:tcPr>
                  <w:tcW w:type="dxa" w:w="4455"/>
                  <w:gridSpan w:val="15"/>
                  <w:vMerge/>
                  <w:tcBorders>
                    <w:start w:sz="4.435328006744385" w:val="single" w:color="#000000"/>
                    <w:top w:sz="3.8809118270874023" w:val="single" w:color="#000000"/>
                    <w:end w:sz="3.8809118270874023" w:val="single" w:color="#000000"/>
                    <w:bottom w:sz="3.8809118270874023" w:val="single" w:color="#000000"/>
                  </w:tcBorders>
                </w:tcPr>
                <w:p/>
              </w:tc>
            </w:tr>
            <w:tr>
              <w:trPr>
                <w:trHeight w:hRule="exact" w:val="120"/>
              </w:trPr>
              <w:tc>
                <w:tcPr>
                  <w:tcW w:type="dxa" w:w="4330"/>
                  <w:gridSpan w:val="15"/>
                  <w:vMerge w:val="restart"/>
                  <w:tcBorders>
                    <w:start w:sz="4.435328006744385" w:val="single" w:color="#000000"/>
                    <w:top w:sz="3.8809118270874023" w:val="single" w:color="#000000"/>
                    <w:end w:sz="3.8809118270874023" w:val="single" w:color="#000000"/>
                    <w:bottom w:sz="3.8809118270874023" w:val="single" w:color="#000000"/>
                  </w:tcBorders>
                  <w:shd w:fill="b7b7b7"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60"/>
              </w:trPr>
              <w:tc>
                <w:tcPr>
                  <w:tcW w:type="dxa" w:w="4455"/>
                  <w:gridSpan w:val="15"/>
                  <w:vMerge/>
                  <w:tcBorders>
                    <w:start w:sz="4.435328006744385" w:val="single" w:color="#000000"/>
                    <w:top w:sz="3.8809118270874023" w:val="single" w:color="#000000"/>
                    <w:end w:sz="3.8809118270874023" w:val="single" w:color="#000000"/>
                    <w:bottom w:sz="3.8809118270874023" w:val="single" w:color="#000000"/>
                  </w:tcBorders>
                </w:tcPr>
                <w:p/>
              </w:tc>
            </w:tr>
            <w:tr>
              <w:trPr>
                <w:trHeight w:hRule="exact" w:val="122"/>
              </w:trPr>
              <w:tc>
                <w:tcPr>
                  <w:tcW w:type="dxa" w:w="4330"/>
                  <w:gridSpan w:val="15"/>
                  <w:vMerge w:val="restart"/>
                  <w:tcBorders>
                    <w:start w:sz="4.435328006744385" w:val="single" w:color="#000000"/>
                    <w:top w:sz="3.8809118270874023" w:val="single" w:color="#000000"/>
                    <w:end w:sz="4.435328006744385" w:val="single" w:color="#000000"/>
                    <w:bottom w:sz="4.435328006744385" w:val="single" w:color="#000000"/>
                  </w:tcBorders>
                  <w:shd w:fill="b7b7b7"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202"/>
              </w:trPr>
              <w:tc>
                <w:tcPr>
                  <w:tcW w:type="dxa" w:w="4455"/>
                  <w:gridSpan w:val="15"/>
                  <w:vMerge/>
                  <w:tcBorders>
                    <w:start w:sz="4.435328006744385" w:val="single" w:color="#000000"/>
                    <w:top w:sz="3.8809118270874023" w:val="single" w:color="#000000"/>
                    <w:end w:sz="3.8809118270874023" w:val="single" w:color="#000000"/>
                    <w:bottom w:sz="3.8809118270874023" w:val="single" w:color="#000000"/>
                  </w:tcBorders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574"/>
        </w:trPr>
        <w:tc>
          <w:tcPr>
            <w:tcW w:type="dxa" w:w="484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24" w:after="0"/>
              <w:ind w:left="0" w:right="128" w:firstLine="0"/>
              <w:jc w:val="right"/>
            </w:pPr>
            <w:r>
              <w:rPr>
                <w:w w:val="101.64293289184569"/>
                <w:rFonts w:ascii="DejaVuSans" w:hAnsi="DejaVuSans" w:eastAsia="DejaVuSans"/>
                <w:b w:val="0"/>
                <w:i w:val="0"/>
                <w:color w:val="000000"/>
                <w:sz w:val="15"/>
              </w:rPr>
              <w:t>0.0</w:t>
            </w:r>
          </w:p>
        </w:tc>
        <w:tc>
          <w:tcPr>
            <w:tcW w:type="dxa" w:w="41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774" w:val="left"/>
                <w:tab w:pos="1348" w:val="left"/>
                <w:tab w:pos="1872" w:val="left"/>
                <w:tab w:pos="2444" w:val="left"/>
                <w:tab w:pos="3018" w:val="left"/>
                <w:tab w:pos="3590" w:val="left"/>
              </w:tabs>
              <w:autoSpaceDE w:val="0"/>
              <w:widowControl/>
              <w:spacing w:line="258" w:lineRule="exact" w:before="24" w:after="0"/>
              <w:ind w:left="202" w:right="0" w:firstLine="0"/>
              <w:jc w:val="left"/>
            </w:pPr>
            <w:r>
              <w:rPr>
                <w:w w:val="101.64293289184569"/>
                <w:rFonts w:ascii="DejaVuSans" w:hAnsi="DejaVuSans" w:eastAsia="DejaVuSans"/>
                <w:b w:val="0"/>
                <w:i w:val="0"/>
                <w:color w:val="000000"/>
                <w:sz w:val="15"/>
              </w:rPr>
              <w:t xml:space="preserve">2.5 </w:t>
            </w:r>
            <w:r>
              <w:rPr>
                <w:w w:val="101.64293289184569"/>
                <w:rFonts w:ascii="DejaVuSans" w:hAnsi="DejaVuSans" w:eastAsia="DejaVuSans"/>
                <w:b w:val="0"/>
                <w:i w:val="0"/>
                <w:color w:val="000000"/>
                <w:sz w:val="15"/>
              </w:rPr>
              <w:t xml:space="preserve">5.0 </w:t>
            </w:r>
            <w:r>
              <w:rPr>
                <w:w w:val="101.64293289184569"/>
                <w:rFonts w:ascii="DejaVuSans" w:hAnsi="DejaVuSans" w:eastAsia="DejaVuSans"/>
                <w:b w:val="0"/>
                <w:i w:val="0"/>
                <w:color w:val="000000"/>
                <w:sz w:val="15"/>
              </w:rPr>
              <w:t xml:space="preserve">7.5 </w:t>
            </w:r>
            <w:r>
              <w:tab/>
            </w:r>
            <w:r>
              <w:rPr>
                <w:w w:val="101.64293289184569"/>
                <w:rFonts w:ascii="DejaVuSans" w:hAnsi="DejaVuSans" w:eastAsia="DejaVuSans"/>
                <w:b w:val="0"/>
                <w:i w:val="0"/>
                <w:color w:val="000000"/>
                <w:sz w:val="15"/>
              </w:rPr>
              <w:t xml:space="preserve">10.0 </w:t>
            </w:r>
            <w:r>
              <w:rPr>
                <w:w w:val="101.64293289184569"/>
                <w:rFonts w:ascii="DejaVuSans" w:hAnsi="DejaVuSans" w:eastAsia="DejaVuSans"/>
                <w:b w:val="0"/>
                <w:i w:val="0"/>
                <w:color w:val="000000"/>
                <w:sz w:val="15"/>
              </w:rPr>
              <w:t xml:space="preserve">12.5 </w:t>
            </w:r>
            <w:r>
              <w:rPr>
                <w:w w:val="101.64293289184569"/>
                <w:rFonts w:ascii="DejaVuSans" w:hAnsi="DejaVuSans" w:eastAsia="DejaVuSans"/>
                <w:b w:val="0"/>
                <w:i w:val="0"/>
                <w:color w:val="000000"/>
                <w:sz w:val="15"/>
              </w:rPr>
              <w:t xml:space="preserve">15.0 </w:t>
            </w:r>
            <w:r>
              <w:rPr>
                <w:w w:val="101.64293289184569"/>
                <w:rFonts w:ascii="DejaVuSans" w:hAnsi="DejaVuSans" w:eastAsia="DejaVuSans"/>
                <w:b w:val="0"/>
                <w:i w:val="0"/>
                <w:color w:val="000000"/>
                <w:sz w:val="15"/>
              </w:rPr>
              <w:t>17.5</w:t>
            </w:r>
          </w:p>
          <w:p>
            <w:pPr>
              <w:autoSpaceDN w:val="0"/>
              <w:autoSpaceDE w:val="0"/>
              <w:widowControl/>
              <w:spacing w:line="284" w:lineRule="exact" w:before="0" w:after="0"/>
              <w:ind w:left="152" w:right="0" w:firstLine="0"/>
              <w:jc w:val="left"/>
            </w:pPr>
            <w:r>
              <w:rPr>
                <w:w w:val="97.83812130198758"/>
                <w:rFonts w:ascii="DejaVuSans" w:hAnsi="DejaVuSans" w:eastAsia="DejaVuSans"/>
                <w:b w:val="0"/>
                <w:i w:val="0"/>
                <w:color w:val="000000"/>
                <w:sz w:val="17"/>
              </w:rPr>
              <w:t>Registros no corpus bibliométrico (n=372)</w:t>
            </w:r>
          </w:p>
        </w:tc>
      </w:tr>
    </w:tbl>
    <w:p>
      <w:pPr>
        <w:autoSpaceDN w:val="0"/>
        <w:autoSpaceDE w:val="0"/>
        <w:widowControl/>
        <w:spacing w:line="218" w:lineRule="exact" w:before="220" w:after="656"/>
        <w:ind w:left="1566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Gráfico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2.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Fontes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mais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frequentes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no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corpus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bibliométrico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ampliado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1157"/>
        <w:gridCol w:w="1157"/>
        <w:gridCol w:w="1157"/>
        <w:gridCol w:w="1157"/>
        <w:gridCol w:w="1157"/>
        <w:gridCol w:w="1157"/>
        <w:gridCol w:w="1157"/>
        <w:gridCol w:w="1157"/>
      </w:tblGrid>
      <w:tr>
        <w:trPr>
          <w:trHeight w:hRule="exact" w:val="372"/>
        </w:trPr>
        <w:tc>
          <w:tcPr>
            <w:tcW w:type="dxa" w:w="500"/>
            <w:vMerge w:val="restart"/>
            <w:tcBorders/>
            <w:tcMar>
              <w:start w:w="0" w:type="dxa"/>
              <w:end w:w="0" w:type="dxa"/>
            </w:tcMar>
            <w:textDirection w:val="btLr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2" w:lineRule="exact" w:before="194" w:after="0"/>
              <w:ind w:left="0" w:right="1760" w:firstLine="0"/>
              <w:jc w:val="right"/>
            </w:pPr>
            <w:r>
              <w:rPr>
                <w:w w:val="98.84666866726346"/>
                <w:rFonts w:ascii="DejaVuSans" w:hAnsi="DejaVuSans" w:eastAsia="DejaVuSans"/>
                <w:b w:val="0"/>
                <w:i w:val="0"/>
                <w:color w:val="000000"/>
                <w:sz w:val="18"/>
              </w:rPr>
              <w:t>Densidade interna</w:t>
            </w:r>
          </w:p>
        </w:tc>
        <w:tc>
          <w:tcPr>
            <w:tcW w:type="dxa" w:w="42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474" w:after="0"/>
              <w:ind w:left="0" w:right="0" w:firstLine="0"/>
              <w:jc w:val="center"/>
            </w:pPr>
            <w:r>
              <w:rPr>
                <w:w w:val="101.93562507629395"/>
                <w:rFonts w:ascii="DejaVuSans" w:hAnsi="DejaVuSans" w:eastAsia="DejaVuSans"/>
                <w:b w:val="0"/>
                <w:i w:val="0"/>
                <w:color w:val="000000"/>
                <w:sz w:val="16"/>
              </w:rPr>
              <w:t>0.05</w:t>
            </w:r>
          </w:p>
        </w:tc>
        <w:tc>
          <w:tcPr>
            <w:tcW w:type="dxa" w:w="8080"/>
            <w:gridSpan w:val="6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46" w:after="0"/>
              <w:ind w:left="0" w:right="0" w:firstLine="0"/>
              <w:jc w:val="center"/>
            </w:pPr>
            <w:r>
              <w:rPr>
                <w:w w:val="101.44789846319901"/>
                <w:rFonts w:ascii="DejaVuSans" w:hAnsi="DejaVuSans" w:eastAsia="DejaVuSans"/>
                <w:b w:val="0"/>
                <w:i w:val="0"/>
                <w:color w:val="000000"/>
                <w:sz w:val="19"/>
              </w:rPr>
              <w:t>Mapa temático do corpus bibliométrico</w:t>
            </w:r>
          </w:p>
        </w:tc>
      </w:tr>
      <w:tr>
        <w:trPr>
          <w:trHeight w:hRule="exact" w:val="620"/>
        </w:trPr>
        <w:tc>
          <w:tcPr>
            <w:tcW w:type="dxa" w:w="1157"/>
            <w:vMerge/>
            <w:tcBorders/>
          </w:tcPr>
          <w:p/>
        </w:tc>
        <w:tc>
          <w:tcPr>
            <w:tcW w:type="dxa" w:w="1157"/>
            <w:vMerge/>
            <w:tcBorders/>
          </w:tcPr>
          <w:p/>
        </w:tc>
        <w:tc>
          <w:tcPr>
            <w:tcW w:type="dxa" w:w="8080"/>
            <w:gridSpan w:val="6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1.999999999999886" w:type="dxa"/>
            </w:tblPr>
            <w:tblGrid>
              <w:gridCol w:w="1616"/>
              <w:gridCol w:w="1616"/>
              <w:gridCol w:w="1616"/>
              <w:gridCol w:w="1616"/>
              <w:gridCol w:w="1616"/>
            </w:tblGrid>
            <w:tr>
              <w:trPr>
                <w:trHeight w:hRule="exact" w:val="228"/>
              </w:trPr>
              <w:tc>
                <w:tcPr>
                  <w:tcW w:type="dxa" w:w="3046"/>
                  <w:tcBorders>
                    <w:start w:sz="4.744639873504639" w:val="single" w:color="#000000"/>
                    <w:top w:sz="4.744639873504639" w:val="single" w:color="#000000"/>
                    <w:end w:sz="5.930799961090088" w:val="single" w:color="#8C8C8C"/>
                    <w:bottom w:sz="5.930799961090088" w:val="single" w:color="#8C8C8C"/>
                  </w:tcBorders>
                  <w:tcMar>
                    <w:start w:w="0" w:type="dxa"/>
                    <w:end w:w="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71.99999999999989" w:type="dxa"/>
                  </w:tblPr>
                  <w:tblGrid>
                    <w:gridCol w:w="1523"/>
                    <w:gridCol w:w="1523"/>
                  </w:tblGrid>
                  <w:tr>
                    <w:trPr>
                      <w:trHeight w:hRule="exact" w:val="138"/>
                    </w:trPr>
                    <w:tc>
                      <w:tcPr>
                        <w:tcW w:type="dxa" w:w="198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50" w:lineRule="exact" w:before="10" w:after="0"/>
                          <w:ind w:left="82" w:right="0" w:firstLine="0"/>
                          <w:jc w:val="left"/>
                        </w:pPr>
                        <w:r>
                          <w:rPr>
                            <w:w w:val="98.84666442871094"/>
                            <w:rFonts w:ascii="DejaVuSans" w:hAnsi="DejaVuSans" w:eastAsia="DejaVuSans"/>
                            <w:b w:val="0"/>
                            <w:i w:val="0"/>
                            <w:color w:val="404040"/>
                            <w:sz w:val="15"/>
                          </w:rPr>
                          <w:t>Temas especializados</w:t>
                        </w:r>
                      </w:p>
                    </w:tc>
                    <w:tc>
                      <w:tcPr>
                        <w:tcW w:type="dxa" w:w="96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36" w:lineRule="exact" w:before="56" w:after="0"/>
                          <w:ind w:left="0" w:right="450" w:firstLine="0"/>
                          <w:jc w:val="right"/>
                        </w:pPr>
                        <w:r>
                          <w:rPr>
                            <w:w w:val="98.84666442871094"/>
                            <w:rFonts w:ascii="DejaVuSans" w:hAnsi="DejaVuSans" w:eastAsia="DejaVuSans"/>
                            <w:b w:val="0"/>
                            <w:i w:val="0"/>
                            <w:color w:val="000000"/>
                            <w:sz w:val="15"/>
                          </w:rPr>
                          <w:t>T1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0" w:right="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5400" cy="533400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400" cy="5334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0" w:right="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5400" cy="38100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4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autoSpaceDN w:val="0"/>
                    <w:autoSpaceDE w:val="0"/>
                    <w:widowControl/>
                    <w:spacing w:line="240" w:lineRule="auto" w:before="880" w:after="0"/>
                    <w:ind w:left="0" w:right="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5400" cy="38100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4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autoSpaceDN w:val="0"/>
                    <w:autoSpaceDE w:val="0"/>
                    <w:widowControl/>
                    <w:spacing w:line="240" w:lineRule="auto" w:before="20" w:after="0"/>
                    <w:ind w:left="0" w:right="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5400" cy="38100"/>
                        <wp:docPr id="5" name="Picture 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4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autoSpaceDN w:val="0"/>
                    <w:autoSpaceDE w:val="0"/>
                    <w:widowControl/>
                    <w:spacing w:line="240" w:lineRule="auto" w:before="20" w:after="0"/>
                    <w:ind w:left="0" w:right="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5400" cy="38100"/>
                        <wp:docPr id="6" name="Picture 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4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autoSpaceDN w:val="0"/>
                    <w:autoSpaceDE w:val="0"/>
                    <w:widowControl/>
                    <w:spacing w:line="240" w:lineRule="auto" w:before="20" w:after="0"/>
                    <w:ind w:left="0" w:right="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5400" cy="533400"/>
                        <wp:docPr id="7" name="Picture 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400" cy="5334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autoSpaceDN w:val="0"/>
                    <w:autoSpaceDE w:val="0"/>
                    <w:widowControl/>
                    <w:spacing w:line="240" w:lineRule="auto" w:before="20" w:after="0"/>
                    <w:ind w:left="0" w:right="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5400" cy="38100"/>
                        <wp:docPr id="8" name="Picture 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4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autoSpaceDN w:val="0"/>
                    <w:autoSpaceDE w:val="0"/>
                    <w:widowControl/>
                    <w:spacing w:line="240" w:lineRule="auto" w:before="20" w:after="0"/>
                    <w:ind w:left="0" w:right="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5400" cy="38100"/>
                        <wp:docPr id="9" name="Picture 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4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autoSpaceDN w:val="0"/>
                    <w:autoSpaceDE w:val="0"/>
                    <w:widowControl/>
                    <w:spacing w:line="240" w:lineRule="auto" w:before="20" w:after="0"/>
                    <w:ind w:left="0" w:right="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5400" cy="38100"/>
                        <wp:docPr id="10" name="Picture 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4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111.99999999999989" w:type="dxa"/>
                  </w:tblPr>
                  <w:tblGrid>
                    <w:gridCol w:w="1523"/>
                    <w:gridCol w:w="1523"/>
                  </w:tblGrid>
                  <w:tr>
                    <w:trPr>
                      <w:trHeight w:hRule="exact" w:val="874"/>
                    </w:trPr>
                    <w:tc>
                      <w:tcPr>
                        <w:tcW w:type="dxa" w:w="14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36" w:lineRule="exact" w:before="632" w:after="0"/>
                          <w:ind w:left="142" w:right="0" w:firstLine="0"/>
                          <w:jc w:val="left"/>
                        </w:pPr>
                        <w:r>
                          <w:rPr>
                            <w:w w:val="98.84666442871094"/>
                            <w:rFonts w:ascii="DejaVuSans" w:hAnsi="DejaVuSans" w:eastAsia="DejaVuSans"/>
                            <w:b w:val="0"/>
                            <w:i w:val="0"/>
                            <w:color w:val="000000"/>
                            <w:sz w:val="15"/>
                          </w:rPr>
                          <w:t>T3</w:t>
                        </w:r>
                      </w:p>
                    </w:tc>
                    <w:tc>
                      <w:tcPr>
                        <w:tcW w:type="dxa" w:w="146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36" w:lineRule="exact" w:before="2" w:after="0"/>
                          <w:ind w:left="0" w:right="148" w:firstLine="0"/>
                          <w:jc w:val="right"/>
                        </w:pPr>
                        <w:r>
                          <w:rPr>
                            <w:w w:val="98.84666442871094"/>
                            <w:rFonts w:ascii="DejaVuSans" w:hAnsi="DejaVuSans" w:eastAsia="DejaVuSans"/>
                            <w:b w:val="0"/>
                            <w:i w:val="0"/>
                            <w:color w:val="000000"/>
                            <w:sz w:val="15"/>
                          </w:rPr>
                          <w:t>T6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0" w:right="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5400" cy="533400"/>
                        <wp:docPr id="11" name="Picture 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400" cy="5334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autoSpaceDN w:val="0"/>
                    <w:autoSpaceDE w:val="0"/>
                    <w:widowControl/>
                    <w:spacing w:line="240" w:lineRule="auto" w:before="20" w:after="0"/>
                    <w:ind w:left="0" w:right="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5400" cy="38100"/>
                        <wp:docPr id="12" name="Picture 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4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autoSpaceDN w:val="0"/>
                    <w:autoSpaceDE w:val="0"/>
                    <w:widowControl/>
                    <w:spacing w:line="240" w:lineRule="auto" w:before="20" w:after="0"/>
                    <w:ind w:left="0" w:right="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5400" cy="38100"/>
                        <wp:docPr id="13" name="Picture 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4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autoSpaceDN w:val="0"/>
                    <w:autoSpaceDE w:val="0"/>
                    <w:widowControl/>
                    <w:spacing w:line="240" w:lineRule="auto" w:before="20" w:after="0"/>
                    <w:ind w:left="0" w:right="0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5400" cy="38100"/>
                        <wp:docPr id="14" name="Picture 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400" cy="38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1616"/>
                  <w:tcBorders>
                    <w:start w:sz="4.744639873504639" w:val="single" w:color="#000000"/>
                    <w:top w:sz="4.744639873504639" w:val="single" w:color="#000000"/>
                    <w:end w:sz="5.930799961090088" w:val="single" w:color="#8C8C8C"/>
                    <w:bottom w:sz="5.930799961090088" w:val="single" w:color="#8C8C8C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926"/>
                  <w:tcBorders>
                    <w:start w:sz="5.930799961090088" w:val="single" w:color="#8C8C8C"/>
                    <w:top w:sz="4.744639873504639" w:val="single" w:color="#000000"/>
                    <w:end w:sz="4.744639873504639" w:val="single" w:color="#000000"/>
                    <w:bottom w:sz="5.930799961090088" w:val="single" w:color="#8C8C8C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0" w:lineRule="exact" w:before="12" w:after="0"/>
                    <w:ind w:left="0" w:right="154" w:firstLine="0"/>
                    <w:jc w:val="right"/>
                  </w:pPr>
                  <w:r>
                    <w:rPr>
                      <w:w w:val="98.84666442871094"/>
                      <w:rFonts w:ascii="DejaVuSans" w:hAnsi="DejaVuSans" w:eastAsia="DejaVuSans"/>
                      <w:b w:val="0"/>
                      <w:i w:val="0"/>
                      <w:color w:val="404040"/>
                      <w:sz w:val="15"/>
                    </w:rPr>
                    <w:t>Temas motores</w:t>
                  </w:r>
                </w:p>
              </w:tc>
              <w:tc>
                <w:tcPr>
                  <w:tcW w:type="dxa" w:w="1616"/>
                  <w:tcBorders>
                    <w:start w:sz="5.930799961090088" w:val="single" w:color="#8C8C8C"/>
                    <w:top w:sz="4.744639873504639" w:val="single" w:color="#000000"/>
                    <w:end w:sz="4.744639873504639" w:val="single" w:color="#000000"/>
                    <w:bottom w:sz="5.930799961090088" w:val="single" w:color="#8C8C8C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616"/>
                  <w:tcBorders>
                    <w:start w:sz="5.930799961090088" w:val="single" w:color="#8C8C8C"/>
                    <w:top w:sz="4.744639873504639" w:val="single" w:color="#000000"/>
                    <w:end w:sz="4.744639873504639" w:val="single" w:color="#000000"/>
                    <w:bottom w:sz="5.930799961090088" w:val="single" w:color="#8C8C8C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516"/>
              </w:trPr>
              <w:tc>
                <w:tcPr>
                  <w:tcW w:type="dxa" w:w="3046"/>
                  <w:tcBorders>
                    <w:start w:sz="4.744639873504639" w:val="single" w:color="#000000"/>
                    <w:top w:sz="5.930799961090088" w:val="single" w:color="#8C8C8C"/>
                    <w:end w:sz="5.930799961090088" w:val="single" w:color="#8C8C8C"/>
                    <w:bottom w:sz="4.74463987350463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2" w:lineRule="exact" w:before="422" w:after="0"/>
                    <w:ind w:left="154" w:right="0" w:firstLine="0"/>
                    <w:jc w:val="left"/>
                  </w:pPr>
                  <w:r>
                    <w:rPr>
                      <w:w w:val="98.84666442871094"/>
                      <w:rFonts w:ascii="DejaVuSans" w:hAnsi="DejaVuSans" w:eastAsia="DejaVuSans"/>
                      <w:b w:val="0"/>
                      <w:i w:val="0"/>
                      <w:color w:val="404040"/>
                      <w:sz w:val="15"/>
                    </w:rPr>
                    <w:t>Temas emergentes/declinantes</w:t>
                  </w:r>
                </w:p>
              </w:tc>
              <w:tc>
                <w:tcPr>
                  <w:tcW w:type="dxa" w:w="1616"/>
                  <w:tcBorders>
                    <w:start w:sz="4.744639873504639" w:val="single" w:color="#000000"/>
                    <w:top w:sz="5.930799961090088" w:val="single" w:color="#8C8C8C"/>
                    <w:end w:sz="5.930799961090088" w:val="single" w:color="#8C8C8C"/>
                    <w:bottom w:sz="4.744639873504639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4926"/>
                  <w:tcBorders>
                    <w:start w:sz="5.930799961090088" w:val="single" w:color="#8C8C8C"/>
                    <w:top w:sz="5.930799961090088" w:val="single" w:color="#8C8C8C"/>
                    <w:end w:sz="4.744639873504639" w:val="single" w:color="#000000"/>
                    <w:bottom w:sz="4.74463987350463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32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43.99999999999977" w:type="dxa"/>
                  </w:tblPr>
                  <w:tblGrid>
                    <w:gridCol w:w="1642"/>
                    <w:gridCol w:w="1642"/>
                    <w:gridCol w:w="1642"/>
                  </w:tblGrid>
                  <w:tr>
                    <w:trPr>
                      <w:trHeight w:hRule="exact" w:val="348"/>
                    </w:trPr>
                    <w:tc>
                      <w:tcPr>
                        <w:tcW w:type="dxa" w:w="6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36" w:lineRule="exact" w:before="60" w:after="0"/>
                          <w:ind w:left="80" w:right="0" w:firstLine="0"/>
                          <w:jc w:val="left"/>
                        </w:pPr>
                        <w:r>
                          <w:rPr>
                            <w:w w:val="98.84666442871094"/>
                            <w:rFonts w:ascii="DejaVuSans" w:hAnsi="DejaVuSans" w:eastAsia="DejaVuSans"/>
                            <w:b w:val="0"/>
                            <w:i w:val="0"/>
                            <w:color w:val="000000"/>
                            <w:sz w:val="15"/>
                          </w:rPr>
                          <w:t>T5</w:t>
                        </w:r>
                      </w:p>
                    </w:tc>
                    <w:tc>
                      <w:tcPr>
                        <w:tcW w:type="dxa" w:w="18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76" w:after="0"/>
                          <w:ind w:left="340" w:right="0" w:firstLine="0"/>
                          <w:jc w:val="left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152400" cy="152400"/>
                              <wp:docPr id="15" name="Picture 15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23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52400" cy="1524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238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82" w:lineRule="exact" w:before="30" w:after="0"/>
                          <w:ind w:left="0" w:right="64" w:firstLine="0"/>
                          <w:jc w:val="right"/>
                        </w:pPr>
                        <w:r>
                          <w:rPr>
                            <w:w w:val="98.84666442871094"/>
                            <w:rFonts w:ascii="DejaVuSans" w:hAnsi="DejaVuSans" w:eastAsia="DejaVuSans"/>
                            <w:b w:val="0"/>
                            <w:i w:val="0"/>
                            <w:color w:val="404040"/>
                            <w:sz w:val="15"/>
                          </w:rPr>
                          <w:t xml:space="preserve">Temas básicos </w:t>
                        </w:r>
                        <w:r>
                          <w:rPr>
                            <w:w w:val="98.84666442871094"/>
                            <w:rFonts w:ascii="DejaVuSans" w:hAnsi="DejaVuSans" w:eastAsia="DejaVuSans"/>
                            <w:b w:val="0"/>
                            <w:i w:val="0"/>
                            <w:color w:val="000000"/>
                            <w:sz w:val="15"/>
                          </w:rPr>
                          <w:t>T4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  <w:tc>
                <w:tcPr>
                  <w:tcW w:type="dxa" w:w="1616"/>
                  <w:tcBorders>
                    <w:start w:sz="5.930799961090088" w:val="single" w:color="#8C8C8C"/>
                    <w:top w:sz="5.930799961090088" w:val="single" w:color="#8C8C8C"/>
                    <w:end w:sz="4.744639873504639" w:val="single" w:color="#000000"/>
                    <w:bottom w:sz="4.744639873504639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616"/>
                  <w:tcBorders>
                    <w:start w:sz="5.930799961090088" w:val="single" w:color="#8C8C8C"/>
                    <w:top w:sz="5.930799961090088" w:val="single" w:color="#8C8C8C"/>
                    <w:end w:sz="4.744639873504639" w:val="single" w:color="#000000"/>
                    <w:bottom w:sz="4.744639873504639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800"/>
        </w:trPr>
        <w:tc>
          <w:tcPr>
            <w:tcW w:type="dxa" w:w="1157"/>
            <w:vMerge/>
            <w:tcBorders/>
          </w:tcPr>
          <w:p/>
        </w:tc>
        <w:tc>
          <w:tcPr>
            <w:tcW w:type="dxa" w:w="4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274" w:after="0"/>
              <w:ind w:left="0" w:right="0" w:firstLine="0"/>
              <w:jc w:val="center"/>
            </w:pPr>
            <w:r>
              <w:rPr>
                <w:w w:val="101.93562507629395"/>
                <w:rFonts w:ascii="DejaVuSans" w:hAnsi="DejaVuSans" w:eastAsia="DejaVuSans"/>
                <w:b w:val="0"/>
                <w:i w:val="0"/>
                <w:color w:val="000000"/>
                <w:sz w:val="16"/>
              </w:rPr>
              <w:t>0.04</w:t>
            </w:r>
          </w:p>
        </w:tc>
        <w:tc>
          <w:tcPr>
            <w:tcW w:type="dxa" w:w="6942"/>
            <w:gridSpan w:val="6"/>
            <w:vMerge/>
            <w:tcBorders/>
          </w:tcPr>
          <w:p/>
        </w:tc>
      </w:tr>
      <w:tr>
        <w:trPr>
          <w:trHeight w:hRule="exact" w:val="800"/>
        </w:trPr>
        <w:tc>
          <w:tcPr>
            <w:tcW w:type="dxa" w:w="1157"/>
            <w:vMerge/>
            <w:tcBorders/>
          </w:tcPr>
          <w:p/>
        </w:tc>
        <w:tc>
          <w:tcPr>
            <w:tcW w:type="dxa" w:w="4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66" w:after="0"/>
              <w:ind w:left="0" w:right="0" w:firstLine="0"/>
              <w:jc w:val="center"/>
            </w:pPr>
            <w:r>
              <w:rPr>
                <w:w w:val="101.93562507629395"/>
                <w:rFonts w:ascii="DejaVuSans" w:hAnsi="DejaVuSans" w:eastAsia="DejaVuSans"/>
                <w:b w:val="0"/>
                <w:i w:val="0"/>
                <w:color w:val="000000"/>
                <w:sz w:val="16"/>
              </w:rPr>
              <w:t>0.03</w:t>
            </w:r>
          </w:p>
        </w:tc>
        <w:tc>
          <w:tcPr>
            <w:tcW w:type="dxa" w:w="6942"/>
            <w:gridSpan w:val="6"/>
            <w:vMerge/>
            <w:tcBorders/>
          </w:tcPr>
          <w:p/>
        </w:tc>
      </w:tr>
      <w:tr>
        <w:trPr>
          <w:trHeight w:hRule="exact" w:val="780"/>
        </w:trPr>
        <w:tc>
          <w:tcPr>
            <w:tcW w:type="dxa" w:w="1157"/>
            <w:vMerge/>
            <w:tcBorders/>
          </w:tcPr>
          <w:p/>
        </w:tc>
        <w:tc>
          <w:tcPr>
            <w:tcW w:type="dxa" w:w="4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58" w:after="0"/>
              <w:ind w:left="0" w:right="0" w:firstLine="0"/>
              <w:jc w:val="center"/>
            </w:pPr>
            <w:r>
              <w:rPr>
                <w:w w:val="101.93562507629395"/>
                <w:rFonts w:ascii="DejaVuSans" w:hAnsi="DejaVuSans" w:eastAsia="DejaVuSans"/>
                <w:b w:val="0"/>
                <w:i w:val="0"/>
                <w:color w:val="000000"/>
                <w:sz w:val="16"/>
              </w:rPr>
              <w:t>0.02</w:t>
            </w:r>
          </w:p>
        </w:tc>
        <w:tc>
          <w:tcPr>
            <w:tcW w:type="dxa" w:w="6942"/>
            <w:gridSpan w:val="6"/>
            <w:vMerge/>
            <w:tcBorders/>
          </w:tcPr>
          <w:p/>
        </w:tc>
      </w:tr>
      <w:tr>
        <w:trPr>
          <w:trHeight w:hRule="exact" w:val="800"/>
        </w:trPr>
        <w:tc>
          <w:tcPr>
            <w:tcW w:type="dxa" w:w="1157"/>
            <w:vMerge/>
            <w:tcBorders/>
          </w:tcPr>
          <w:p/>
        </w:tc>
        <w:tc>
          <w:tcPr>
            <w:tcW w:type="dxa" w:w="4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70" w:after="0"/>
              <w:ind w:left="0" w:right="0" w:firstLine="0"/>
              <w:jc w:val="center"/>
            </w:pPr>
            <w:r>
              <w:rPr>
                <w:w w:val="101.93562507629395"/>
                <w:rFonts w:ascii="DejaVuSans" w:hAnsi="DejaVuSans" w:eastAsia="DejaVuSans"/>
                <w:b w:val="0"/>
                <w:i w:val="0"/>
                <w:color w:val="000000"/>
                <w:sz w:val="16"/>
              </w:rPr>
              <w:t>0.01</w:t>
            </w:r>
          </w:p>
        </w:tc>
        <w:tc>
          <w:tcPr>
            <w:tcW w:type="dxa" w:w="6942"/>
            <w:gridSpan w:val="6"/>
            <w:vMerge/>
            <w:tcBorders/>
          </w:tcPr>
          <w:p/>
        </w:tc>
      </w:tr>
      <w:tr>
        <w:trPr>
          <w:trHeight w:hRule="exact" w:val="600"/>
        </w:trPr>
        <w:tc>
          <w:tcPr>
            <w:tcW w:type="dxa" w:w="1157"/>
            <w:vMerge/>
            <w:tcBorders/>
          </w:tcPr>
          <w:p/>
        </w:tc>
        <w:tc>
          <w:tcPr>
            <w:tcW w:type="dxa" w:w="42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62" w:after="0"/>
              <w:ind w:left="0" w:right="0" w:firstLine="0"/>
              <w:jc w:val="center"/>
            </w:pPr>
            <w:r>
              <w:rPr>
                <w:w w:val="101.93562507629395"/>
                <w:rFonts w:ascii="DejaVuSans" w:hAnsi="DejaVuSans" w:eastAsia="DejaVuSans"/>
                <w:b w:val="0"/>
                <w:i w:val="0"/>
                <w:color w:val="000000"/>
                <w:sz w:val="16"/>
              </w:rPr>
              <w:t>0.00</w:t>
            </w:r>
          </w:p>
        </w:tc>
        <w:tc>
          <w:tcPr>
            <w:tcW w:type="dxa" w:w="6942"/>
            <w:gridSpan w:val="6"/>
            <w:vMerge/>
            <w:tcBorders/>
          </w:tcPr>
          <w:p/>
        </w:tc>
      </w:tr>
      <w:tr>
        <w:trPr>
          <w:trHeight w:hRule="exact" w:val="580"/>
        </w:trPr>
        <w:tc>
          <w:tcPr>
            <w:tcW w:type="dxa" w:w="1157"/>
            <w:vMerge/>
            <w:tcBorders/>
          </w:tcPr>
          <w:p/>
        </w:tc>
        <w:tc>
          <w:tcPr>
            <w:tcW w:type="dxa" w:w="1157"/>
            <w:vMerge/>
            <w:tcBorders/>
          </w:tcPr>
          <w:p/>
        </w:tc>
        <w:tc>
          <w:tcPr>
            <w:tcW w:type="dxa" w:w="228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26" w:after="0"/>
              <w:ind w:left="0" w:right="680" w:firstLine="0"/>
              <w:jc w:val="right"/>
            </w:pPr>
            <w:r>
              <w:rPr>
                <w:w w:val="101.93562507629395"/>
                <w:rFonts w:ascii="DejaVuSans" w:hAnsi="DejaVuSans" w:eastAsia="DejaVuSans"/>
                <w:b w:val="0"/>
                <w:i w:val="0"/>
                <w:color w:val="000000"/>
                <w:sz w:val="16"/>
              </w:rPr>
              <w:t>0.5</w:t>
            </w:r>
          </w:p>
        </w:tc>
        <w:tc>
          <w:tcPr>
            <w:tcW w:type="dxa" w:w="340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354" w:val="left"/>
              </w:tabs>
              <w:autoSpaceDE w:val="0"/>
              <w:widowControl/>
              <w:spacing w:line="278" w:lineRule="exact" w:before="26" w:after="0"/>
              <w:ind w:left="706" w:right="0" w:firstLine="0"/>
              <w:jc w:val="left"/>
            </w:pPr>
            <w:r>
              <w:rPr>
                <w:w w:val="101.93562507629395"/>
                <w:rFonts w:ascii="DejaVuSans" w:hAnsi="DejaVuSans" w:eastAsia="DejaVuSans"/>
                <w:b w:val="0"/>
                <w:i w:val="0"/>
                <w:color w:val="000000"/>
                <w:sz w:val="16"/>
              </w:rPr>
              <w:t xml:space="preserve">1.0 </w:t>
            </w:r>
            <w:r>
              <w:rPr>
                <w:w w:val="101.93562507629395"/>
                <w:rFonts w:ascii="DejaVuSans" w:hAnsi="DejaVuSans" w:eastAsia="DejaVuSans"/>
                <w:b w:val="0"/>
                <w:i w:val="0"/>
                <w:color w:val="000000"/>
                <w:sz w:val="16"/>
              </w:rPr>
              <w:t>1.5</w:t>
            </w:r>
          </w:p>
          <w:p>
            <w:pPr>
              <w:autoSpaceDN w:val="0"/>
              <w:autoSpaceDE w:val="0"/>
              <w:widowControl/>
              <w:spacing w:line="302" w:lineRule="exact" w:before="0" w:after="0"/>
              <w:ind w:left="728" w:right="0" w:firstLine="0"/>
              <w:jc w:val="left"/>
            </w:pPr>
            <w:r>
              <w:rPr>
                <w:w w:val="98.84666866726346"/>
                <w:rFonts w:ascii="DejaVuSans" w:hAnsi="DejaVuSans" w:eastAsia="DejaVuSans"/>
                <w:b w:val="0"/>
                <w:i w:val="0"/>
                <w:color w:val="000000"/>
                <w:sz w:val="18"/>
              </w:rPr>
              <w:t>Centralidade no campo</w:t>
            </w:r>
          </w:p>
        </w:tc>
        <w:tc>
          <w:tcPr>
            <w:tcW w:type="dxa" w:w="24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26" w:after="0"/>
              <w:ind w:left="600" w:right="0" w:firstLine="0"/>
              <w:jc w:val="left"/>
            </w:pPr>
            <w:r>
              <w:rPr>
                <w:w w:val="101.93562507629395"/>
                <w:rFonts w:ascii="DejaVuSans" w:hAnsi="DejaVuSans" w:eastAsia="DejaVuSans"/>
                <w:b w:val="0"/>
                <w:i w:val="0"/>
                <w:color w:val="000000"/>
                <w:sz w:val="16"/>
              </w:rPr>
              <w:t>2.0</w:t>
            </w:r>
          </w:p>
        </w:tc>
      </w:tr>
      <w:tr>
        <w:trPr>
          <w:trHeight w:hRule="exact" w:val="260"/>
        </w:trPr>
        <w:tc>
          <w:tcPr>
            <w:tcW w:type="dxa" w:w="1157"/>
            <w:vMerge/>
            <w:tcBorders/>
          </w:tcPr>
          <w:p/>
        </w:tc>
        <w:tc>
          <w:tcPr>
            <w:tcW w:type="dxa" w:w="1157"/>
            <w:vMerge/>
            <w:tcBorders/>
          </w:tcPr>
          <w:p/>
        </w:tc>
        <w:tc>
          <w:tcPr>
            <w:tcW w:type="dxa" w:w="10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0" w:after="0"/>
              <w:ind w:left="0" w:right="8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8900" cy="1016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900" cy="101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40"/>
            <w:gridSpan w:val="2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88" w:right="144" w:firstLine="0"/>
              <w:jc w:val="left"/>
            </w:pPr>
            <w:r>
              <w:rPr>
                <w:w w:val="102.64846361600435"/>
                <w:rFonts w:ascii="DejaVuSans" w:hAnsi="DejaVuSans" w:eastAsia="DejaVuSans"/>
                <w:b w:val="0"/>
                <w:i w:val="0"/>
                <w:color w:val="000000"/>
                <w:sz w:val="13"/>
              </w:rPr>
              <w:t xml:space="preserve">T1: facility management; energy efficiency </w:t>
            </w:r>
            <w:r>
              <w:rPr>
                <w:w w:val="102.64846361600435"/>
                <w:rFonts w:ascii="DejaVuSans" w:hAnsi="DejaVuSans" w:eastAsia="DejaVuSans"/>
                <w:b w:val="0"/>
                <w:i w:val="0"/>
                <w:color w:val="000000"/>
                <w:sz w:val="13"/>
              </w:rPr>
              <w:t xml:space="preserve">T2: life cycle assessment </w:t>
            </w:r>
            <w:r>
              <w:br/>
            </w:r>
            <w:r>
              <w:rPr>
                <w:w w:val="102.64846361600435"/>
                <w:rFonts w:ascii="DejaVuSans" w:hAnsi="DejaVuSans" w:eastAsia="DejaVuSans"/>
                <w:b w:val="0"/>
                <w:i w:val="0"/>
                <w:color w:val="000000"/>
                <w:sz w:val="13"/>
              </w:rPr>
              <w:t>T3: green building; sustainable development</w:t>
            </w:r>
          </w:p>
        </w:tc>
        <w:tc>
          <w:tcPr>
            <w:tcW w:type="dxa" w:w="4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0" w:after="0"/>
              <w:ind w:left="0" w:right="8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01600" cy="1016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600" cy="101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40"/>
            <w:gridSpan w:val="2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80" w:right="576" w:firstLine="0"/>
              <w:jc w:val="left"/>
            </w:pPr>
            <w:r>
              <w:rPr>
                <w:w w:val="102.64846361600435"/>
                <w:rFonts w:ascii="DejaVuSans" w:hAnsi="DejaVuSans" w:eastAsia="DejaVuSans"/>
                <w:b w:val="0"/>
                <w:i w:val="0"/>
                <w:color w:val="000000"/>
                <w:sz w:val="13"/>
              </w:rPr>
              <w:t xml:space="preserve">T4: building information modeling (bim) </w:t>
            </w:r>
            <w:r>
              <w:rPr>
                <w:w w:val="102.64846361600435"/>
                <w:rFonts w:ascii="DejaVuSans" w:hAnsi="DejaVuSans" w:eastAsia="DejaVuSans"/>
                <w:b w:val="0"/>
                <w:i w:val="0"/>
                <w:color w:val="000000"/>
                <w:sz w:val="13"/>
              </w:rPr>
              <w:t xml:space="preserve">T5: residential building </w:t>
            </w:r>
            <w:r>
              <w:br/>
            </w:r>
            <w:r>
              <w:rPr>
                <w:w w:val="102.64846361600435"/>
                <w:rFonts w:ascii="DejaVuSans" w:hAnsi="DejaVuSans" w:eastAsia="DejaVuSans"/>
                <w:b w:val="0"/>
                <w:i w:val="0"/>
                <w:color w:val="000000"/>
                <w:sz w:val="13"/>
              </w:rPr>
              <w:t>T6: building performance; digital twin</w:t>
            </w:r>
          </w:p>
        </w:tc>
      </w:tr>
      <w:tr>
        <w:trPr>
          <w:trHeight w:hRule="exact" w:val="200"/>
        </w:trPr>
        <w:tc>
          <w:tcPr>
            <w:tcW w:type="dxa" w:w="1157"/>
            <w:vMerge/>
            <w:tcBorders/>
          </w:tcPr>
          <w:p/>
        </w:tc>
        <w:tc>
          <w:tcPr>
            <w:tcW w:type="dxa" w:w="1157"/>
            <w:vMerge/>
            <w:tcBorders/>
          </w:tcPr>
          <w:p/>
        </w:tc>
        <w:tc>
          <w:tcPr>
            <w:tcW w:type="dxa" w:w="10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8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8900" cy="1016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900" cy="101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14"/>
            <w:gridSpan w:val="2"/>
            <w:vMerge/>
            <w:tcBorders/>
          </w:tcPr>
          <w:p/>
        </w:tc>
        <w:tc>
          <w:tcPr>
            <w:tcW w:type="dxa" w:w="4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8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01600" cy="1016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600" cy="101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14"/>
            <w:gridSpan w:val="2"/>
            <w:vMerge/>
            <w:tcBorders/>
          </w:tcPr>
          <w:p/>
        </w:tc>
      </w:tr>
      <w:tr>
        <w:trPr>
          <w:trHeight w:hRule="exact" w:val="274"/>
        </w:trPr>
        <w:tc>
          <w:tcPr>
            <w:tcW w:type="dxa" w:w="1157"/>
            <w:vMerge/>
            <w:tcBorders/>
          </w:tcPr>
          <w:p/>
        </w:tc>
        <w:tc>
          <w:tcPr>
            <w:tcW w:type="dxa" w:w="1157"/>
            <w:vMerge/>
            <w:tcBorders/>
          </w:tcPr>
          <w:p/>
        </w:tc>
        <w:tc>
          <w:tcPr>
            <w:tcW w:type="dxa" w:w="10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8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8900" cy="1016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900" cy="101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14"/>
            <w:gridSpan w:val="2"/>
            <w:vMerge/>
            <w:tcBorders/>
          </w:tcPr>
          <w:p/>
        </w:tc>
        <w:tc>
          <w:tcPr>
            <w:tcW w:type="dxa" w:w="4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8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01600" cy="1016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600" cy="101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14"/>
            <w:gridSpan w:val="2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0" w:lineRule="exact" w:before="288" w:after="0"/>
        <w:ind w:left="1238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Gráfico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3.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Mapa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temático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por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centralidade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densidade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das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palavras-chave</w:t>
      </w:r>
    </w:p>
    <w:p>
      <w:pPr>
        <w:autoSpaceDN w:val="0"/>
        <w:autoSpaceDE w:val="0"/>
        <w:widowControl/>
        <w:spacing w:line="238" w:lineRule="exact" w:before="674" w:after="0"/>
        <w:ind w:left="0" w:right="4346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11</w:t>
      </w:r>
    </w:p>
    <w:p>
      <w:pPr>
        <w:sectPr>
          <w:pgSz w:w="11906" w:h="16838"/>
          <w:pgMar w:top="964" w:right="1206" w:bottom="24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6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1803400</wp:posOffset>
            </wp:positionH>
            <wp:positionV relativeFrom="page">
              <wp:posOffset>1943100</wp:posOffset>
            </wp:positionV>
            <wp:extent cx="4711700" cy="4000500"/>
            <wp:wrapNone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11700" cy="40005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64" w:lineRule="exact" w:before="0" w:after="0"/>
        <w:ind w:left="260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ligações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representam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coocorrência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normalizada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demonstram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conceitos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tenham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operacionalizados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conjuntamente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mesmo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decisório.</w:t>
      </w:r>
    </w:p>
    <w:p>
      <w:pPr>
        <w:autoSpaceDN w:val="0"/>
        <w:autoSpaceDE w:val="0"/>
        <w:widowControl/>
        <w:spacing w:line="298" w:lineRule="exact" w:before="266" w:after="0"/>
        <w:ind w:left="0" w:right="1916" w:firstLine="0"/>
        <w:jc w:val="right"/>
      </w:pPr>
      <w:r>
        <w:rPr>
          <w:w w:val="97.48555289374458"/>
          <w:rFonts w:ascii="DejaVuSans" w:hAnsi="DejaVuSans" w:eastAsia="DejaVuSans"/>
          <w:b w:val="0"/>
          <w:i w:val="0"/>
          <w:color w:val="000000"/>
          <w:sz w:val="18"/>
        </w:rPr>
        <w:t>Rede normalizada de coocorrência de palavras-chave</w:t>
      </w:r>
    </w:p>
    <w:p>
      <w:pPr>
        <w:autoSpaceDN w:val="0"/>
        <w:tabs>
          <w:tab w:pos="3976" w:val="left"/>
          <w:tab w:pos="5084" w:val="left"/>
          <w:tab w:pos="6264" w:val="left"/>
        </w:tabs>
        <w:autoSpaceDE w:val="0"/>
        <w:widowControl/>
        <w:spacing w:line="258" w:lineRule="exact" w:before="150" w:after="0"/>
        <w:ind w:left="2946" w:right="2448" w:firstLine="0"/>
        <w:jc w:val="left"/>
      </w:pPr>
      <w:r>
        <w:tab/>
      </w:r>
      <w:r>
        <w:rPr>
          <w:w w:val="101.2350014277867"/>
          <w:rFonts w:ascii="DejaVuSans" w:hAnsi="DejaVuSans" w:eastAsia="DejaVuSans"/>
          <w:b w:val="0"/>
          <w:i w:val="0"/>
          <w:color w:val="000000"/>
          <w:sz w:val="14"/>
        </w:rPr>
        <w:t xml:space="preserve">energy saving </w:t>
      </w:r>
      <w:r>
        <w:rPr>
          <w:w w:val="101.2350014277867"/>
          <w:rFonts w:ascii="DejaVuSans" w:hAnsi="DejaVuSans" w:eastAsia="DejaVuSans"/>
          <w:b w:val="0"/>
          <w:i w:val="0"/>
          <w:color w:val="000000"/>
          <w:sz w:val="14"/>
        </w:rPr>
        <w:t xml:space="preserve">office building </w:t>
      </w:r>
      <w:r>
        <w:br/>
      </w:r>
      <w:r>
        <w:rPr>
          <w:w w:val="101.2350014277867"/>
          <w:rFonts w:ascii="DejaVuSans" w:hAnsi="DejaVuSans" w:eastAsia="DejaVuSans"/>
          <w:b w:val="0"/>
          <w:i w:val="0"/>
          <w:color w:val="000000"/>
          <w:sz w:val="14"/>
        </w:rPr>
        <w:t xml:space="preserve">life cycle cost </w:t>
      </w:r>
      <w:r>
        <w:tab/>
      </w:r>
      <w:r>
        <w:tab/>
      </w:r>
      <w:r>
        <w:rPr>
          <w:w w:val="101.2350014277867"/>
          <w:rFonts w:ascii="DejaVuSans" w:hAnsi="DejaVuSans" w:eastAsia="DejaVuSans"/>
          <w:b w:val="0"/>
          <w:i w:val="0"/>
          <w:color w:val="000000"/>
          <w:sz w:val="14"/>
        </w:rPr>
        <w:t>life cycle</w:t>
      </w:r>
    </w:p>
    <w:p>
      <w:pPr>
        <w:autoSpaceDN w:val="0"/>
        <w:tabs>
          <w:tab w:pos="6606" w:val="left"/>
        </w:tabs>
        <w:autoSpaceDE w:val="0"/>
        <w:widowControl/>
        <w:spacing w:line="322" w:lineRule="exact" w:before="80" w:after="0"/>
        <w:ind w:left="1524" w:right="0" w:firstLine="0"/>
        <w:jc w:val="left"/>
      </w:pPr>
      <w:r>
        <w:rPr>
          <w:w w:val="101.2350014277867"/>
          <w:rFonts w:ascii="DejaVuSans" w:hAnsi="DejaVuSans" w:eastAsia="DejaVuSans"/>
          <w:b w:val="0"/>
          <w:i w:val="0"/>
          <w:color w:val="000000"/>
          <w:sz w:val="14"/>
        </w:rPr>
        <w:t xml:space="preserve">sustainable construction </w:t>
      </w:r>
      <w:r>
        <w:tab/>
      </w:r>
      <w:r>
        <w:rPr>
          <w:w w:val="101.2350014277867"/>
          <w:rFonts w:ascii="DejaVuSans" w:hAnsi="DejaVuSans" w:eastAsia="DejaVuSans"/>
          <w:b w:val="0"/>
          <w:i w:val="0"/>
          <w:color w:val="000000"/>
          <w:sz w:val="14"/>
        </w:rPr>
        <w:t>carbon emissions</w:t>
      </w:r>
    </w:p>
    <w:p>
      <w:pPr>
        <w:autoSpaceDN w:val="0"/>
        <w:tabs>
          <w:tab w:pos="3166" w:val="left"/>
          <w:tab w:pos="4480" w:val="left"/>
          <w:tab w:pos="5882" w:val="left"/>
          <w:tab w:pos="7136" w:val="left"/>
          <w:tab w:pos="7786" w:val="left"/>
        </w:tabs>
        <w:autoSpaceDE w:val="0"/>
        <w:widowControl/>
        <w:spacing w:line="242" w:lineRule="exact" w:before="346" w:after="0"/>
        <w:ind w:left="448" w:right="144" w:firstLine="0"/>
        <w:jc w:val="left"/>
      </w:pPr>
      <w:r>
        <w:tab/>
      </w:r>
      <w:r>
        <w:rPr>
          <w:w w:val="101.2350014277867"/>
          <w:rFonts w:ascii="DejaVuSans" w:hAnsi="DejaVuSans" w:eastAsia="DejaVuSans"/>
          <w:b w:val="0"/>
          <w:i w:val="0"/>
          <w:color w:val="000000"/>
          <w:sz w:val="14"/>
        </w:rPr>
        <w:t xml:space="preserve">green building </w:t>
      </w:r>
      <w:r>
        <w:br/>
      </w:r>
      <w:r>
        <w:tab/>
      </w:r>
      <w:r>
        <w:tab/>
      </w:r>
      <w:r>
        <w:rPr>
          <w:w w:val="101.2350014277867"/>
          <w:rFonts w:ascii="DejaVuSans" w:hAnsi="DejaVuSans" w:eastAsia="DejaVuSans"/>
          <w:b w:val="0"/>
          <w:i w:val="0"/>
          <w:color w:val="000000"/>
          <w:sz w:val="14"/>
        </w:rPr>
        <w:t xml:space="preserve">building maintenance </w:t>
      </w:r>
      <w:r>
        <w:tab/>
      </w:r>
      <w:r>
        <w:rPr>
          <w:w w:val="101.2350014277867"/>
          <w:rFonts w:ascii="DejaVuSans" w:hAnsi="DejaVuSans" w:eastAsia="DejaVuSans"/>
          <w:b w:val="0"/>
          <w:i w:val="0"/>
          <w:color w:val="000000"/>
          <w:sz w:val="14"/>
        </w:rPr>
        <w:t xml:space="preserve">life cycle assessment </w:t>
      </w:r>
      <w:r>
        <w:rPr>
          <w:w w:val="101.2350014277867"/>
          <w:rFonts w:ascii="DejaVuSans" w:hAnsi="DejaVuSans" w:eastAsia="DejaVuSans"/>
          <w:b w:val="0"/>
          <w:i w:val="0"/>
          <w:color w:val="000000"/>
          <w:sz w:val="14"/>
        </w:rPr>
        <w:t xml:space="preserve">building performance simulation </w:t>
      </w:r>
      <w:r>
        <w:br/>
      </w:r>
      <w:r>
        <w:tab/>
      </w:r>
      <w:r>
        <w:tab/>
      </w:r>
      <w:r>
        <w:tab/>
      </w:r>
      <w:r>
        <w:rPr>
          <w:w w:val="101.2350014277867"/>
          <w:rFonts w:ascii="DejaVuSans" w:hAnsi="DejaVuSans" w:eastAsia="DejaVuSans"/>
          <w:b w:val="0"/>
          <w:i w:val="0"/>
          <w:color w:val="000000"/>
          <w:sz w:val="14"/>
        </w:rPr>
        <w:t xml:space="preserve">sustainable development </w:t>
      </w:r>
      <w:r>
        <w:tab/>
      </w:r>
      <w:r>
        <w:rPr>
          <w:w w:val="101.2350014277867"/>
          <w:rFonts w:ascii="DejaVuSans" w:hAnsi="DejaVuSans" w:eastAsia="DejaVuSans"/>
          <w:b w:val="0"/>
          <w:i w:val="0"/>
          <w:color w:val="000000"/>
          <w:sz w:val="14"/>
        </w:rPr>
        <w:t>residential building</w:t>
      </w:r>
    </w:p>
    <w:p>
      <w:pPr>
        <w:autoSpaceDN w:val="0"/>
        <w:tabs>
          <w:tab w:pos="2058" w:val="left"/>
          <w:tab w:pos="3754" w:val="left"/>
          <w:tab w:pos="8420" w:val="left"/>
        </w:tabs>
        <w:autoSpaceDE w:val="0"/>
        <w:widowControl/>
        <w:spacing w:line="212" w:lineRule="exact" w:before="294" w:after="0"/>
        <w:ind w:left="862" w:right="288" w:firstLine="0"/>
        <w:jc w:val="left"/>
      </w:pPr>
      <w:r>
        <w:rPr>
          <w:w w:val="101.2350014277867"/>
          <w:rFonts w:ascii="DejaVuSans" w:hAnsi="DejaVuSans" w:eastAsia="DejaVuSans"/>
          <w:b w:val="0"/>
          <w:i w:val="0"/>
          <w:color w:val="000000"/>
          <w:sz w:val="14"/>
        </w:rPr>
        <w:t xml:space="preserve">building operation </w:t>
      </w:r>
      <w:r>
        <w:br/>
      </w:r>
      <w:r>
        <w:tab/>
      </w:r>
      <w:r>
        <w:tab/>
      </w:r>
      <w:r>
        <w:rPr>
          <w:w w:val="101.2350014277867"/>
          <w:rFonts w:ascii="DejaVuSans" w:hAnsi="DejaVuSans" w:eastAsia="DejaVuSans"/>
          <w:b w:val="0"/>
          <w:i w:val="0"/>
          <w:color w:val="000000"/>
          <w:sz w:val="14"/>
        </w:rPr>
        <w:t xml:space="preserve">energy efficiency </w:t>
      </w:r>
      <w:r>
        <w:br/>
      </w:r>
      <w:r>
        <w:tab/>
      </w:r>
      <w:r>
        <w:rPr>
          <w:w w:val="101.2350014277867"/>
          <w:rFonts w:ascii="DejaVuSans" w:hAnsi="DejaVuSans" w:eastAsia="DejaVuSans"/>
          <w:b w:val="0"/>
          <w:i w:val="0"/>
          <w:color w:val="000000"/>
          <w:sz w:val="14"/>
        </w:rPr>
        <w:t xml:space="preserve">building performance </w:t>
      </w:r>
      <w:r>
        <w:tab/>
      </w:r>
      <w:r>
        <w:tab/>
      </w:r>
      <w:r>
        <w:rPr>
          <w:w w:val="101.2350014277867"/>
          <w:rFonts w:ascii="DejaVuSans" w:hAnsi="DejaVuSans" w:eastAsia="DejaVuSans"/>
          <w:b w:val="0"/>
          <w:i w:val="0"/>
          <w:color w:val="000000"/>
          <w:sz w:val="14"/>
        </w:rPr>
        <w:t>malaysia</w:t>
      </w:r>
    </w:p>
    <w:p>
      <w:pPr>
        <w:autoSpaceDN w:val="0"/>
        <w:tabs>
          <w:tab w:pos="4982" w:val="left"/>
          <w:tab w:pos="6718" w:val="left"/>
        </w:tabs>
        <w:autoSpaceDE w:val="0"/>
        <w:widowControl/>
        <w:spacing w:line="258" w:lineRule="exact" w:before="270" w:after="0"/>
        <w:ind w:left="1082" w:right="720" w:firstLine="0"/>
        <w:jc w:val="left"/>
      </w:pPr>
      <w:r>
        <w:rPr>
          <w:w w:val="101.2350014277867"/>
          <w:rFonts w:ascii="DejaVuSans" w:hAnsi="DejaVuSans" w:eastAsia="DejaVuSans"/>
          <w:b w:val="0"/>
          <w:i w:val="0"/>
          <w:color w:val="000000"/>
          <w:sz w:val="14"/>
        </w:rPr>
        <w:t xml:space="preserve">smart cities </w:t>
      </w:r>
      <w:r>
        <w:tab/>
      </w:r>
      <w:r>
        <w:rPr>
          <w:w w:val="101.2350014277867"/>
          <w:rFonts w:ascii="DejaVuSans" w:hAnsi="DejaVuSans" w:eastAsia="DejaVuSans"/>
          <w:b w:val="0"/>
          <w:i w:val="0"/>
          <w:color w:val="000000"/>
          <w:sz w:val="14"/>
        </w:rPr>
        <w:t xml:space="preserve">maintenance management </w:t>
      </w:r>
      <w:r>
        <w:tab/>
      </w:r>
      <w:r>
        <w:rPr>
          <w:w w:val="101.2350014277867"/>
          <w:rFonts w:ascii="DejaVuSans" w:hAnsi="DejaVuSans" w:eastAsia="DejaVuSans"/>
          <w:b w:val="0"/>
          <w:i w:val="0"/>
          <w:color w:val="000000"/>
          <w:sz w:val="14"/>
        </w:rPr>
        <w:t>asset management</w:t>
      </w:r>
    </w:p>
    <w:p>
      <w:pPr>
        <w:autoSpaceDN w:val="0"/>
        <w:tabs>
          <w:tab w:pos="3344" w:val="left"/>
          <w:tab w:pos="8206" w:val="left"/>
        </w:tabs>
        <w:autoSpaceDE w:val="0"/>
        <w:widowControl/>
        <w:spacing w:line="288" w:lineRule="exact" w:before="178" w:after="0"/>
        <w:ind w:left="1494" w:right="0" w:firstLine="0"/>
        <w:jc w:val="left"/>
      </w:pPr>
      <w:r>
        <w:rPr>
          <w:w w:val="101.2350014277867"/>
          <w:rFonts w:ascii="DejaVuSans" w:hAnsi="DejaVuSans" w:eastAsia="DejaVuSans"/>
          <w:b w:val="0"/>
          <w:i w:val="0"/>
          <w:color w:val="000000"/>
          <w:sz w:val="14"/>
        </w:rPr>
        <w:t xml:space="preserve">smart building </w:t>
      </w:r>
      <w:r>
        <w:tab/>
      </w:r>
      <w:r>
        <w:rPr>
          <w:w w:val="101.2350014277867"/>
          <w:rFonts w:ascii="DejaVuSans" w:hAnsi="DejaVuSans" w:eastAsia="DejaVuSans"/>
          <w:b w:val="0"/>
          <w:i w:val="0"/>
          <w:color w:val="000000"/>
          <w:sz w:val="14"/>
        </w:rPr>
        <w:t xml:space="preserve">BIM </w:t>
      </w:r>
      <w:r>
        <w:tab/>
      </w:r>
      <w:r>
        <w:rPr>
          <w:w w:val="101.2350014277867"/>
          <w:rFonts w:ascii="DejaVuSans" w:hAnsi="DejaVuSans" w:eastAsia="DejaVuSans"/>
          <w:b w:val="0"/>
          <w:i w:val="0"/>
          <w:color w:val="000000"/>
          <w:sz w:val="14"/>
        </w:rPr>
        <w:t>nigeria</w:t>
      </w:r>
    </w:p>
    <w:p>
      <w:pPr>
        <w:autoSpaceDN w:val="0"/>
        <w:tabs>
          <w:tab w:pos="4080" w:val="left"/>
          <w:tab w:pos="5084" w:val="left"/>
          <w:tab w:pos="7424" w:val="left"/>
        </w:tabs>
        <w:autoSpaceDE w:val="0"/>
        <w:widowControl/>
        <w:spacing w:line="240" w:lineRule="exact" w:before="268" w:after="0"/>
        <w:ind w:left="1760" w:right="1584" w:firstLine="0"/>
        <w:jc w:val="left"/>
      </w:pPr>
      <w:r>
        <w:tab/>
      </w:r>
      <w:r>
        <w:tab/>
      </w:r>
      <w:r>
        <w:rPr>
          <w:w w:val="101.2350014277867"/>
          <w:rFonts w:ascii="DejaVuSans" w:hAnsi="DejaVuSans" w:eastAsia="DejaVuSans"/>
          <w:b w:val="0"/>
          <w:i w:val="0"/>
          <w:color w:val="000000"/>
          <w:sz w:val="14"/>
        </w:rPr>
        <w:t xml:space="preserve">facility management </w:t>
      </w:r>
      <w:r>
        <w:tab/>
      </w:r>
      <w:r>
        <w:rPr>
          <w:w w:val="101.2350014277867"/>
          <w:rFonts w:ascii="DejaVuSans" w:hAnsi="DejaVuSans" w:eastAsia="DejaVuSans"/>
          <w:b w:val="0"/>
          <w:i w:val="0"/>
          <w:color w:val="000000"/>
          <w:sz w:val="14"/>
        </w:rPr>
        <w:t xml:space="preserve">leed </w:t>
      </w:r>
      <w:r>
        <w:rPr>
          <w:w w:val="101.2350014277867"/>
          <w:rFonts w:ascii="DejaVuSans" w:hAnsi="DejaVuSans" w:eastAsia="DejaVuSans"/>
          <w:b w:val="0"/>
          <w:i w:val="0"/>
          <w:color w:val="000000"/>
          <w:sz w:val="14"/>
        </w:rPr>
        <w:t xml:space="preserve">building life cycle </w:t>
      </w:r>
      <w:r>
        <w:br/>
      </w:r>
      <w:r>
        <w:tab/>
      </w:r>
      <w:r>
        <w:rPr>
          <w:w w:val="101.2350014277867"/>
          <w:rFonts w:ascii="DejaVuSans" w:hAnsi="DejaVuSans" w:eastAsia="DejaVuSans"/>
          <w:b w:val="0"/>
          <w:i w:val="0"/>
          <w:color w:val="000000"/>
          <w:sz w:val="14"/>
        </w:rPr>
        <w:t>digital twin</w:t>
      </w:r>
    </w:p>
    <w:p>
      <w:pPr>
        <w:autoSpaceDN w:val="0"/>
        <w:tabs>
          <w:tab w:pos="6530" w:val="left"/>
        </w:tabs>
        <w:autoSpaceDE w:val="0"/>
        <w:widowControl/>
        <w:spacing w:line="296" w:lineRule="exact" w:before="164" w:after="0"/>
        <w:ind w:left="3198" w:right="0" w:firstLine="0"/>
        <w:jc w:val="left"/>
      </w:pPr>
      <w:r>
        <w:rPr>
          <w:w w:val="101.2350014277867"/>
          <w:rFonts w:ascii="DejaVuSans" w:hAnsi="DejaVuSans" w:eastAsia="DejaVuSans"/>
          <w:b w:val="0"/>
          <w:i w:val="0"/>
          <w:color w:val="000000"/>
          <w:sz w:val="14"/>
        </w:rPr>
        <w:t xml:space="preserve">IoT </w:t>
      </w:r>
      <w:r>
        <w:tab/>
      </w:r>
      <w:r>
        <w:rPr>
          <w:w w:val="101.2350014277867"/>
          <w:rFonts w:ascii="DejaVuSans" w:hAnsi="DejaVuSans" w:eastAsia="DejaVuSans"/>
          <w:b w:val="0"/>
          <w:i w:val="0"/>
          <w:color w:val="000000"/>
          <w:sz w:val="14"/>
        </w:rPr>
        <w:t>urban sustainability</w:t>
      </w:r>
    </w:p>
    <w:p>
      <w:pPr>
        <w:autoSpaceDN w:val="0"/>
        <w:autoSpaceDE w:val="0"/>
        <w:widowControl/>
        <w:spacing w:line="270" w:lineRule="exact" w:before="0" w:after="0"/>
        <w:ind w:left="0" w:right="2554" w:firstLine="0"/>
        <w:jc w:val="right"/>
      </w:pPr>
      <w:r>
        <w:rPr>
          <w:w w:val="101.2350014277867"/>
          <w:rFonts w:ascii="DejaVuSans" w:hAnsi="DejaVuSans" w:eastAsia="DejaVuSans"/>
          <w:b w:val="0"/>
          <w:i w:val="0"/>
          <w:color w:val="000000"/>
          <w:sz w:val="14"/>
        </w:rPr>
        <w:t xml:space="preserve">predictive maintenance </w:t>
      </w:r>
      <w:r>
        <w:rPr>
          <w:w w:val="101.2350014277867"/>
          <w:rFonts w:ascii="DejaVuSans" w:hAnsi="DejaVuSans" w:eastAsia="DejaVuSans"/>
          <w:b w:val="0"/>
          <w:i w:val="0"/>
          <w:color w:val="000000"/>
          <w:sz w:val="14"/>
        </w:rPr>
        <w:t>operation and maintenance</w:t>
      </w:r>
    </w:p>
    <w:p>
      <w:pPr>
        <w:autoSpaceDN w:val="0"/>
        <w:autoSpaceDE w:val="0"/>
        <w:widowControl/>
        <w:spacing w:line="218" w:lineRule="exact" w:before="518" w:after="0"/>
        <w:ind w:left="1774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Gráfico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4.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Rede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normalizada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coocorrência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palavras-chave</w:t>
      </w:r>
    </w:p>
    <w:p>
      <w:pPr>
        <w:autoSpaceDN w:val="0"/>
        <w:autoSpaceDE w:val="0"/>
        <w:widowControl/>
        <w:spacing w:line="288" w:lineRule="exact" w:before="294" w:after="0"/>
        <w:ind w:left="260" w:right="0" w:firstLine="352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temporal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mostra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mudança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vocabulário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campo.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participação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BIM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aumentou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7,3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pontos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percentuais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períodos,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enquanto</w:t>
      </w:r>
      <w:r>
        <w:rPr>
          <w:rFonts w:ascii="LMRoman12" w:hAnsi="LMRoman12" w:eastAsia="LMRoman12"/>
          <w:b w:val="0"/>
          <w:i/>
          <w:color w:val="000000"/>
          <w:sz w:val="24"/>
        </w:rPr>
        <w:t>digital</w:t>
      </w:r>
      <w:r>
        <w:rPr>
          <w:rFonts w:ascii="LMRoman12" w:hAnsi="LMRoman12" w:eastAsia="LMRoman12"/>
          <w:b w:val="0"/>
          <w:i/>
          <w:color w:val="000000"/>
          <w:sz w:val="24"/>
        </w:rPr>
        <w:t xml:space="preserve">twins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cresceram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4,7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pontos,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emissões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carbono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2,7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pontos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avaliação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ciclo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1,9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ponto.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Em sentido contrário, diminuíram proporcionalmente as expressões edificação verde,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eficiência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energética,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manutenção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desempenho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edificação.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redução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relativa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não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comprova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abandono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desses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assuntos: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pode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indicar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incorporação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dos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temas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tradicionais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vocabulários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tecnológicos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ciclo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específicos.</w:t>
      </w:r>
    </w:p>
    <w:p>
      <w:pPr>
        <w:autoSpaceDN w:val="0"/>
        <w:tabs>
          <w:tab w:pos="612" w:val="left"/>
          <w:tab w:pos="6230" w:val="left"/>
        </w:tabs>
        <w:autoSpaceDE w:val="0"/>
        <w:widowControl/>
        <w:spacing w:line="290" w:lineRule="exact" w:before="0" w:after="0"/>
        <w:ind w:left="242" w:right="0" w:firstLine="0"/>
        <w:jc w:val="left"/>
      </w:pPr>
      <w:r>
        <w:tab/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conjunto,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camada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bibliométrica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mostra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transição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vocabulário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concentrado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eficiência,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desempenho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edificações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conectado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BIM,</w:t>
      </w:r>
      <w:r>
        <w:rPr>
          <w:rFonts w:ascii="LMRoman12" w:hAnsi="LMRoman12" w:eastAsia="LMRoman12"/>
          <w:b w:val="0"/>
          <w:i/>
          <w:color w:val="000000"/>
          <w:sz w:val="24"/>
        </w:rPr>
        <w:t xml:space="preserve">digital </w:t>
      </w:r>
      <w:r>
        <w:rPr>
          <w:rFonts w:ascii="LMRoman12" w:hAnsi="LMRoman12" w:eastAsia="LMRoman12"/>
          <w:b w:val="0"/>
          <w:i/>
          <w:color w:val="000000"/>
          <w:sz w:val="24"/>
        </w:rPr>
        <w:t>twins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carbono,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ciclo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manutenção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preditiva.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Essa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transformação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amplia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capacidade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informacional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gestão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elimina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lacuna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identificada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síntese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temática: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poucos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estudos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cadeia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indicador,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ponderação,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agregação,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decisão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instituições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públicas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universitárias.</w:t>
      </w:r>
    </w:p>
    <w:p>
      <w:pPr>
        <w:autoSpaceDN w:val="0"/>
        <w:tabs>
          <w:tab w:pos="842" w:val="left"/>
        </w:tabs>
        <w:autoSpaceDE w:val="0"/>
        <w:widowControl/>
        <w:spacing w:line="344" w:lineRule="exact" w:before="472" w:after="0"/>
        <w:ind w:left="260" w:right="0" w:firstLine="0"/>
        <w:jc w:val="left"/>
      </w:pP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 xml:space="preserve">5 </w:t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Panorama</w:t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bibliométrico</w:t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e</w:t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corpus</w:t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da</w:t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revisão</w:t>
      </w:r>
    </w:p>
    <w:p>
      <w:pPr>
        <w:autoSpaceDN w:val="0"/>
        <w:autoSpaceDE w:val="0"/>
        <w:widowControl/>
        <w:spacing w:line="288" w:lineRule="exact" w:before="214" w:after="0"/>
        <w:ind w:left="144" w:right="0" w:firstLine="0"/>
        <w:jc w:val="center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núcleo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final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reúne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104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registros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publicados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entre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2011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2026.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período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2019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2026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concentra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88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registros,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correspondentes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84,6%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núcleo,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maior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frequência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2025,</w:t>
      </w:r>
    </w:p>
    <w:p>
      <w:pPr>
        <w:autoSpaceDN w:val="0"/>
        <w:autoSpaceDE w:val="0"/>
        <w:widowControl/>
        <w:spacing w:line="238" w:lineRule="exact" w:before="360" w:after="0"/>
        <w:ind w:left="0" w:right="4472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12</w:t>
      </w:r>
    </w:p>
    <w:p>
      <w:pPr>
        <w:sectPr>
          <w:pgSz w:w="11906" w:h="16838"/>
          <w:pgMar w:top="876" w:right="1080" w:bottom="24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20.0" w:type="dxa"/>
      </w:tblPr>
      <w:tblGrid>
        <w:gridCol w:w="1880"/>
        <w:gridCol w:w="1880"/>
        <w:gridCol w:w="1880"/>
        <w:gridCol w:w="1880"/>
        <w:gridCol w:w="1880"/>
      </w:tblGrid>
      <w:tr>
        <w:trPr>
          <w:trHeight w:hRule="exact" w:val="6406"/>
        </w:trPr>
        <w:tc>
          <w:tcPr>
            <w:tcW w:type="dxa" w:w="342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exact" w:before="454" w:after="0"/>
              <w:ind w:left="144" w:right="46" w:firstLine="0"/>
              <w:jc w:val="right"/>
            </w:pPr>
            <w:r>
              <w:rPr>
                <w:w w:val="101.86517378863167"/>
                <w:rFonts w:ascii="DejaVuSans" w:hAnsi="DejaVuSans" w:eastAsia="DejaVuSans"/>
                <w:b w:val="0"/>
                <w:i w:val="0"/>
                <w:color w:val="000000"/>
                <w:sz w:val="17"/>
              </w:rPr>
              <w:t xml:space="preserve">building information modeling (bim) </w:t>
            </w:r>
            <w:r>
              <w:rPr>
                <w:w w:val="101.86517378863167"/>
                <w:rFonts w:ascii="DejaVuSans" w:hAnsi="DejaVuSans" w:eastAsia="DejaVuSans"/>
                <w:b w:val="0"/>
                <w:i w:val="0"/>
                <w:color w:val="000000"/>
                <w:sz w:val="17"/>
              </w:rPr>
              <w:t xml:space="preserve">digital twin </w:t>
            </w:r>
            <w:r>
              <w:br/>
            </w:r>
            <w:r>
              <w:rPr>
                <w:w w:val="101.86517378863167"/>
                <w:rFonts w:ascii="DejaVuSans" w:hAnsi="DejaVuSans" w:eastAsia="DejaVuSans"/>
                <w:b w:val="0"/>
                <w:i w:val="0"/>
                <w:color w:val="000000"/>
                <w:sz w:val="17"/>
              </w:rPr>
              <w:t xml:space="preserve">life cycle assessment </w:t>
            </w:r>
            <w:r>
              <w:br/>
            </w:r>
            <w:r>
              <w:rPr>
                <w:w w:val="101.86517378863167"/>
                <w:rFonts w:ascii="DejaVuSans" w:hAnsi="DejaVuSans" w:eastAsia="DejaVuSans"/>
                <w:b w:val="0"/>
                <w:i w:val="0"/>
                <w:color w:val="000000"/>
                <w:sz w:val="17"/>
              </w:rPr>
              <w:t xml:space="preserve">carbon emissions </w:t>
            </w:r>
            <w:r>
              <w:br/>
            </w:r>
            <w:r>
              <w:rPr>
                <w:w w:val="101.86517378863167"/>
                <w:rFonts w:ascii="DejaVuSans" w:hAnsi="DejaVuSans" w:eastAsia="DejaVuSans"/>
                <w:b w:val="0"/>
                <w:i w:val="0"/>
                <w:color w:val="000000"/>
                <w:sz w:val="17"/>
              </w:rPr>
              <w:t xml:space="preserve">sustainable construction </w:t>
            </w:r>
            <w:r>
              <w:br/>
            </w:r>
            <w:r>
              <w:rPr>
                <w:w w:val="101.86517378863167"/>
                <w:rFonts w:ascii="DejaVuSans" w:hAnsi="DejaVuSans" w:eastAsia="DejaVuSans"/>
                <w:b w:val="0"/>
                <w:i w:val="0"/>
                <w:color w:val="000000"/>
                <w:sz w:val="17"/>
              </w:rPr>
              <w:t xml:space="preserve">building operation </w:t>
            </w:r>
            <w:r>
              <w:br/>
            </w:r>
            <w:r>
              <w:rPr>
                <w:w w:val="101.86517378863167"/>
                <w:rFonts w:ascii="DejaVuSans" w:hAnsi="DejaVuSans" w:eastAsia="DejaVuSans"/>
                <w:b w:val="0"/>
                <w:i w:val="0"/>
                <w:color w:val="000000"/>
                <w:sz w:val="17"/>
              </w:rPr>
              <w:t xml:space="preserve">office building </w:t>
            </w:r>
            <w:r>
              <w:br/>
            </w:r>
            <w:r>
              <w:rPr>
                <w:w w:val="101.86517378863167"/>
                <w:rFonts w:ascii="DejaVuSans" w:hAnsi="DejaVuSans" w:eastAsia="DejaVuSans"/>
                <w:b w:val="0"/>
                <w:i w:val="0"/>
                <w:color w:val="000000"/>
                <w:sz w:val="17"/>
              </w:rPr>
              <w:t xml:space="preserve">residential building </w:t>
            </w:r>
            <w:r>
              <w:br/>
            </w:r>
            <w:r>
              <w:rPr>
                <w:w w:val="101.86517378863167"/>
                <w:rFonts w:ascii="DejaVuSans" w:hAnsi="DejaVuSans" w:eastAsia="DejaVuSans"/>
                <w:b w:val="0"/>
                <w:i w:val="0"/>
                <w:color w:val="000000"/>
                <w:sz w:val="17"/>
              </w:rPr>
              <w:t xml:space="preserve">smart building </w:t>
            </w:r>
            <w:r>
              <w:br/>
            </w:r>
            <w:r>
              <w:rPr>
                <w:w w:val="101.86517378863167"/>
                <w:rFonts w:ascii="DejaVuSans" w:hAnsi="DejaVuSans" w:eastAsia="DejaVuSans"/>
                <w:b w:val="0"/>
                <w:i w:val="0"/>
                <w:color w:val="000000"/>
                <w:sz w:val="17"/>
              </w:rPr>
              <w:t xml:space="preserve">sustainable development </w:t>
            </w:r>
            <w:r>
              <w:br/>
            </w:r>
            <w:r>
              <w:rPr>
                <w:w w:val="101.86517378863167"/>
                <w:rFonts w:ascii="DejaVuSans" w:hAnsi="DejaVuSans" w:eastAsia="DejaVuSans"/>
                <w:b w:val="0"/>
                <w:i w:val="0"/>
                <w:color w:val="000000"/>
                <w:sz w:val="17"/>
              </w:rPr>
              <w:t xml:space="preserve">facility management </w:t>
            </w:r>
            <w:r>
              <w:br/>
            </w:r>
            <w:r>
              <w:rPr>
                <w:w w:val="101.86517378863167"/>
                <w:rFonts w:ascii="DejaVuSans" w:hAnsi="DejaVuSans" w:eastAsia="DejaVuSans"/>
                <w:b w:val="0"/>
                <w:i w:val="0"/>
                <w:color w:val="000000"/>
                <w:sz w:val="17"/>
              </w:rPr>
              <w:t xml:space="preserve">maintenance management </w:t>
            </w:r>
            <w:r>
              <w:br/>
            </w:r>
            <w:r>
              <w:rPr>
                <w:w w:val="101.86517378863167"/>
                <w:rFonts w:ascii="DejaVuSans" w:hAnsi="DejaVuSans" w:eastAsia="DejaVuSans"/>
                <w:b w:val="0"/>
                <w:i w:val="0"/>
                <w:color w:val="000000"/>
                <w:sz w:val="17"/>
              </w:rPr>
              <w:t xml:space="preserve">operation and maintenance </w:t>
            </w:r>
            <w:r>
              <w:br/>
            </w:r>
            <w:r>
              <w:rPr>
                <w:w w:val="101.86517378863167"/>
                <w:rFonts w:ascii="DejaVuSans" w:hAnsi="DejaVuSans" w:eastAsia="DejaVuSans"/>
                <w:b w:val="0"/>
                <w:i w:val="0"/>
                <w:color w:val="000000"/>
                <w:sz w:val="17"/>
              </w:rPr>
              <w:t xml:space="preserve">building performance simulation </w:t>
            </w:r>
            <w:r>
              <w:br/>
            </w:r>
            <w:r>
              <w:rPr>
                <w:w w:val="101.86517378863167"/>
                <w:rFonts w:ascii="DejaVuSans" w:hAnsi="DejaVuSans" w:eastAsia="DejaVuSans"/>
                <w:b w:val="0"/>
                <w:i w:val="0"/>
                <w:color w:val="000000"/>
                <w:sz w:val="17"/>
              </w:rPr>
              <w:t xml:space="preserve">building performance </w:t>
            </w:r>
            <w:r>
              <w:br/>
            </w:r>
            <w:r>
              <w:rPr>
                <w:w w:val="101.86517378863167"/>
                <w:rFonts w:ascii="DejaVuSans" w:hAnsi="DejaVuSans" w:eastAsia="DejaVuSans"/>
                <w:b w:val="0"/>
                <w:i w:val="0"/>
                <w:color w:val="000000"/>
                <w:sz w:val="17"/>
              </w:rPr>
              <w:t xml:space="preserve">building maintenance </w:t>
            </w:r>
            <w:r>
              <w:br/>
            </w:r>
            <w:r>
              <w:rPr>
                <w:w w:val="101.86517378863167"/>
                <w:rFonts w:ascii="DejaVuSans" w:hAnsi="DejaVuSans" w:eastAsia="DejaVuSans"/>
                <w:b w:val="0"/>
                <w:i w:val="0"/>
                <w:color w:val="000000"/>
                <w:sz w:val="17"/>
              </w:rPr>
              <w:t xml:space="preserve">energy efficiency </w:t>
            </w:r>
            <w:r>
              <w:br/>
            </w:r>
            <w:r>
              <w:rPr>
                <w:w w:val="101.86517378863167"/>
                <w:rFonts w:ascii="DejaVuSans" w:hAnsi="DejaVuSans" w:eastAsia="DejaVuSans"/>
                <w:b w:val="0"/>
                <w:i w:val="0"/>
                <w:color w:val="000000"/>
                <w:sz w:val="17"/>
              </w:rPr>
              <w:t>green building</w:t>
            </w:r>
          </w:p>
        </w:tc>
        <w:tc>
          <w:tcPr>
            <w:tcW w:type="dxa" w:w="5620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6" w:lineRule="exact" w:before="12" w:after="0"/>
              <w:ind w:left="0" w:right="0" w:firstLine="0"/>
              <w:jc w:val="center"/>
            </w:pPr>
            <w:r>
              <w:rPr>
                <w:w w:val="102.32820510864258"/>
                <w:rFonts w:ascii="DejaVuSans" w:hAnsi="DejaVuSans" w:eastAsia="DejaVuSans"/>
                <w:b w:val="0"/>
                <w:i w:val="0"/>
                <w:color w:val="000000"/>
                <w:sz w:val="20"/>
              </w:rPr>
              <w:t>Evolução das palavras-chave entre dois períodos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3.99999999999977" w:type="dxa"/>
            </w:tblPr>
            <w:tblGrid>
              <w:gridCol w:w="702"/>
              <w:gridCol w:w="702"/>
              <w:gridCol w:w="702"/>
              <w:gridCol w:w="702"/>
              <w:gridCol w:w="702"/>
              <w:gridCol w:w="702"/>
              <w:gridCol w:w="702"/>
              <w:gridCol w:w="702"/>
            </w:tblGrid>
            <w:tr>
              <w:trPr>
                <w:trHeight w:hRule="exact" w:val="254"/>
              </w:trPr>
              <w:tc>
                <w:tcPr>
                  <w:tcW w:type="dxa" w:w="5424"/>
                  <w:tcBorders>
                    <w:start w:sz="5.037696361541748" w:val="single" w:color="#000000"/>
                    <w:top w:sz="5.037696361541748" w:val="single" w:color="#000000"/>
                    <w:end w:sz="5.037696361541748" w:val="single" w:color="#000000"/>
                    <w:bottom w:sz="5.037696361541748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82" w:after="0"/>
                    <w:ind w:left="0" w:right="162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854200" cy="101600"/>
                        <wp:docPr id="27" name="Picture 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54200" cy="1016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autoSpaceDN w:val="0"/>
                    <w:autoSpaceDE w:val="0"/>
                    <w:widowControl/>
                    <w:spacing w:line="240" w:lineRule="auto" w:before="180" w:after="0"/>
                    <w:ind w:left="170" w:right="0" w:firstLine="0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231900" cy="88900"/>
                        <wp:docPr id="28" name="Picture 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31900" cy="889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autoSpaceDN w:val="0"/>
                    <w:autoSpaceDE w:val="0"/>
                    <w:widowControl/>
                    <w:spacing w:line="240" w:lineRule="auto" w:before="180" w:after="0"/>
                    <w:ind w:left="0" w:right="2622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749300" cy="101600"/>
                        <wp:docPr id="29" name="Picture 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49300" cy="1016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390" w:right="0" w:firstLine="0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749300" cy="101600"/>
                        <wp:docPr id="30" name="Picture 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49300" cy="1016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390" w:right="0" w:firstLine="0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508000" cy="101600"/>
                        <wp:docPr id="31" name="Picture 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08000" cy="1016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650" w:right="0" w:firstLine="0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69900" cy="101600"/>
                        <wp:docPr id="32" name="Picture 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69900" cy="1016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890" w:right="0" w:firstLine="0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31800" cy="101600"/>
                        <wp:docPr id="33" name="Picture 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31800" cy="1016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autoSpaceDN w:val="0"/>
                    <w:autoSpaceDE w:val="0"/>
                    <w:widowControl/>
                    <w:spacing w:line="240" w:lineRule="auto" w:before="180" w:after="82"/>
                    <w:ind w:left="650" w:right="0" w:firstLine="0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42900" cy="88900"/>
                        <wp:docPr id="34" name="Picture 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42900" cy="889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310.0" w:type="dxa"/>
                  </w:tblPr>
                  <w:tblGrid>
                    <w:gridCol w:w="1356"/>
                    <w:gridCol w:w="1356"/>
                    <w:gridCol w:w="1356"/>
                    <w:gridCol w:w="1356"/>
                  </w:tblGrid>
                  <w:tr>
                    <w:trPr>
                      <w:trHeight w:hRule="exact" w:val="338"/>
                    </w:trPr>
                    <w:tc>
                      <w:tcPr>
                        <w:tcW w:type="dxa" w:w="820"/>
                        <w:vMerge w:val="restart"/>
                        <w:tcBorders/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98" w:after="0"/>
                          <w:ind w:left="0" w:right="100" w:firstLine="0"/>
                          <w:jc w:val="right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241300" cy="101600"/>
                              <wp:docPr id="35" name="Picture 35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43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241300" cy="1016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640"/>
                        <w:vMerge w:val="restart"/>
                        <w:tcBorders/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418" w:after="0"/>
                          <w:ind w:left="100" w:right="0" w:firstLine="0"/>
                          <w:jc w:val="left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190500" cy="101600"/>
                              <wp:docPr id="36" name="Picture 36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44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90500" cy="1016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52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138" w:after="0"/>
                          <w:ind w:left="0" w:right="100" w:firstLine="0"/>
                          <w:jc w:val="right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101600" cy="101600"/>
                              <wp:docPr id="37" name="Picture 37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45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01600" cy="1016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040"/>
                        <w:vMerge w:val="restart"/>
                        <w:tcBorders/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36" w:lineRule="exact" w:before="92" w:after="0"/>
                          <w:ind w:left="0" w:right="0" w:firstLine="0"/>
                          <w:jc w:val="center"/>
                        </w:pPr>
                        <w:r>
                          <w:rPr>
                            <w:w w:val="98.39249849319458"/>
                            <w:rFonts w:ascii="DejaVuSans" w:hAnsi="DejaVuSans" w:eastAsia="DejaVuSans"/>
                            <w:b w:val="0"/>
                            <w:i w:val="0"/>
                            <w:color w:val="000000"/>
                            <w:sz w:val="16"/>
                          </w:rPr>
                          <w:t xml:space="preserve">2010–2020 </w:t>
                        </w:r>
                        <w:r>
                          <w:rPr>
                            <w:w w:val="98.39249849319458"/>
                            <w:rFonts w:ascii="DejaVuSans" w:hAnsi="DejaVuSans" w:eastAsia="DejaVuSans"/>
                            <w:b w:val="0"/>
                            <w:i w:val="0"/>
                            <w:color w:val="000000"/>
                            <w:sz w:val="16"/>
                          </w:rPr>
                          <w:t>2021–2026</w:t>
                        </w:r>
                      </w:p>
                    </w:tc>
                  </w:tr>
                  <w:tr>
                    <w:trPr>
                      <w:trHeight w:hRule="exact" w:val="300"/>
                    </w:trPr>
                    <w:tc>
                      <w:tcPr>
                        <w:tcW w:type="dxa" w:w="1356"/>
                        <w:vMerge/>
                        <w:tcBorders/>
                      </w:tcPr>
                      <w:p/>
                    </w:tc>
                    <w:tc>
                      <w:tcPr>
                        <w:tcW w:type="dxa" w:w="1356"/>
                        <w:vMerge/>
                        <w:tcBorders/>
                      </w:tcPr>
                      <w:p/>
                    </w:tc>
                    <w:tc>
                      <w:tcPr>
                        <w:tcW w:type="dxa" w:w="152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40" w:after="0"/>
                          <w:ind w:left="0" w:right="100" w:firstLine="0"/>
                          <w:jc w:val="right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101600" cy="88900"/>
                              <wp:docPr id="38" name="Picture 38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46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01600" cy="889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356"/>
                        <w:vMerge/>
                        <w:tcBorders/>
                      </w:tcPr>
                      <w:p/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240" w:lineRule="auto" w:before="100" w:after="0"/>
                    <w:ind w:left="0" w:right="722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92100" cy="101600"/>
                        <wp:docPr id="39" name="Picture 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92100" cy="1016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510" w:right="0" w:firstLine="0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82600" cy="101600"/>
                        <wp:docPr id="40" name="Picture 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82600" cy="1016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510" w:right="0" w:firstLine="0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82600" cy="101600"/>
                        <wp:docPr id="41" name="Picture 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82600" cy="1016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510" w:right="0" w:firstLine="0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82600" cy="101600"/>
                        <wp:docPr id="42" name="Picture 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82600" cy="1016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autoSpaceDN w:val="0"/>
                    <w:autoSpaceDE w:val="0"/>
                    <w:widowControl/>
                    <w:spacing w:line="240" w:lineRule="auto" w:before="180" w:after="0"/>
                    <w:ind w:left="890" w:right="0" w:firstLine="0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558800" cy="88900"/>
                        <wp:docPr id="43" name="Picture 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58800" cy="889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autoSpaceDN w:val="0"/>
                    <w:autoSpaceDE w:val="0"/>
                    <w:widowControl/>
                    <w:spacing w:line="240" w:lineRule="auto" w:before="180" w:after="0"/>
                    <w:ind w:left="690" w:right="0" w:firstLine="0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85800" cy="101600"/>
                        <wp:docPr id="44" name="Picture 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85800" cy="1016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1030" w:right="0" w:firstLine="0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092200" cy="101600"/>
                        <wp:docPr id="45" name="Picture 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92200" cy="1016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autoSpaceDN w:val="0"/>
                    <w:autoSpaceDE w:val="0"/>
                    <w:widowControl/>
                    <w:spacing w:line="240" w:lineRule="auto" w:before="160" w:after="0"/>
                    <w:ind w:left="0" w:right="1222" w:firstLine="0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422400" cy="101600"/>
                        <wp:docPr id="46" name="Picture 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22400" cy="1016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702"/>
                  <w:tcBorders>
                    <w:start w:sz="5.037696361541748" w:val="single" w:color="#000000"/>
                    <w:top w:sz="5.037696361541748" w:val="single" w:color="#000000"/>
                    <w:end w:sz="5.037696361541748" w:val="single" w:color="#000000"/>
                    <w:bottom w:sz="5.037696361541748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702"/>
                  <w:tcBorders>
                    <w:start w:sz="5.037696361541748" w:val="single" w:color="#000000"/>
                    <w:top w:sz="5.037696361541748" w:val="single" w:color="#000000"/>
                    <w:end w:sz="5.037696361541748" w:val="single" w:color="#000000"/>
                    <w:bottom w:sz="5.037696361541748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702"/>
                  <w:tcBorders>
                    <w:start w:sz="5.037696361541748" w:val="single" w:color="#000000"/>
                    <w:top w:sz="5.037696361541748" w:val="single" w:color="#000000"/>
                    <w:end w:sz="5.037696361541748" w:val="single" w:color="#000000"/>
                    <w:bottom w:sz="5.037696361541748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702"/>
                  <w:tcBorders>
                    <w:start w:sz="5.037696361541748" w:val="single" w:color="#000000"/>
                    <w:top w:sz="5.037696361541748" w:val="single" w:color="#000000"/>
                    <w:end w:sz="5.037696361541748" w:val="single" w:color="#000000"/>
                    <w:bottom w:sz="5.037696361541748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702"/>
                  <w:tcBorders>
                    <w:start w:sz="5.037696361541748" w:val="single" w:color="#000000"/>
                    <w:top w:sz="5.037696361541748" w:val="single" w:color="#000000"/>
                    <w:end w:sz="5.037696361541748" w:val="single" w:color="#000000"/>
                    <w:bottom w:sz="5.037696361541748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702"/>
                  <w:tcBorders>
                    <w:start w:sz="5.037696361541748" w:val="single" w:color="#000000"/>
                    <w:top w:sz="5.037696361541748" w:val="single" w:color="#000000"/>
                    <w:end w:sz="5.037696361541748" w:val="single" w:color="#000000"/>
                    <w:bottom w:sz="5.037696361541748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702"/>
                  <w:tcBorders>
                    <w:start w:sz="5.037696361541748" w:val="single" w:color="#000000"/>
                    <w:top w:sz="5.037696361541748" w:val="single" w:color="#000000"/>
                    <w:end w:sz="5.037696361541748" w:val="single" w:color="#000000"/>
                    <w:bottom w:sz="5.037696361541748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640"/>
        </w:trPr>
        <w:tc>
          <w:tcPr>
            <w:tcW w:type="dxa" w:w="1880"/>
            <w:vMerge/>
            <w:tcBorders/>
          </w:tcPr>
          <w:p/>
        </w:tc>
        <w:tc>
          <w:tcPr>
            <w:tcW w:type="dxa" w:w="6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24" w:after="0"/>
              <w:ind w:left="0" w:right="0" w:firstLine="0"/>
              <w:jc w:val="center"/>
            </w:pPr>
            <w:r>
              <w:rPr>
                <w:w w:val="101.86517378863167"/>
                <w:rFonts w:ascii="DejaVuSans" w:hAnsi="DejaVuSans" w:eastAsia="DejaVuSans"/>
                <w:b w:val="0"/>
                <w:i w:val="0"/>
                <w:color w:val="000000"/>
                <w:sz w:val="17"/>
              </w:rPr>
              <w:t>0</w:t>
            </w:r>
          </w:p>
        </w:tc>
        <w:tc>
          <w:tcPr>
            <w:tcW w:type="dxa" w:w="4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24" w:after="0"/>
              <w:ind w:left="0" w:right="0" w:firstLine="0"/>
              <w:jc w:val="right"/>
            </w:pPr>
            <w:r>
              <w:rPr>
                <w:w w:val="101.86517378863167"/>
                <w:rFonts w:ascii="DejaVuSans" w:hAnsi="DejaVuSans" w:eastAsia="DejaVuSans"/>
                <w:b w:val="0"/>
                <w:i w:val="0"/>
                <w:color w:val="000000"/>
                <w:sz w:val="17"/>
              </w:rPr>
              <w:t>2</w:t>
            </w:r>
          </w:p>
        </w:tc>
        <w:tc>
          <w:tcPr>
            <w:tcW w:type="dxa" w:w="34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410" w:val="left"/>
                <w:tab w:pos="2170" w:val="left"/>
                <w:tab w:pos="2872" w:val="left"/>
              </w:tabs>
              <w:autoSpaceDE w:val="0"/>
              <w:widowControl/>
              <w:spacing w:line="292" w:lineRule="exact" w:before="24" w:after="0"/>
              <w:ind w:left="652" w:right="0" w:firstLine="0"/>
              <w:jc w:val="left"/>
            </w:pPr>
            <w:r>
              <w:rPr>
                <w:w w:val="101.86517378863167"/>
                <w:rFonts w:ascii="DejaVuSans" w:hAnsi="DejaVuSans" w:eastAsia="DejaVuSans"/>
                <w:b w:val="0"/>
                <w:i w:val="0"/>
                <w:color w:val="000000"/>
                <w:sz w:val="17"/>
              </w:rPr>
              <w:t xml:space="preserve">4 </w:t>
            </w:r>
            <w:r>
              <w:rPr>
                <w:w w:val="101.86517378863167"/>
                <w:rFonts w:ascii="DejaVuSans" w:hAnsi="DejaVuSans" w:eastAsia="DejaVuSans"/>
                <w:b w:val="0"/>
                <w:i w:val="0"/>
                <w:color w:val="000000"/>
                <w:sz w:val="17"/>
              </w:rPr>
              <w:t xml:space="preserve">6 </w:t>
            </w:r>
            <w:r>
              <w:rPr>
                <w:w w:val="101.86517378863167"/>
                <w:rFonts w:ascii="DejaVuSans" w:hAnsi="DejaVuSans" w:eastAsia="DejaVuSans"/>
                <w:b w:val="0"/>
                <w:i w:val="0"/>
                <w:color w:val="000000"/>
                <w:sz w:val="17"/>
              </w:rPr>
              <w:t xml:space="preserve">8 </w:t>
            </w:r>
            <w:r>
              <w:tab/>
            </w:r>
            <w:r>
              <w:rPr>
                <w:w w:val="101.86517378863167"/>
                <w:rFonts w:ascii="DejaVuSans" w:hAnsi="DejaVuSans" w:eastAsia="DejaVuSans"/>
                <w:b w:val="0"/>
                <w:i w:val="0"/>
                <w:color w:val="000000"/>
                <w:sz w:val="17"/>
              </w:rPr>
              <w:t>10</w:t>
            </w:r>
          </w:p>
          <w:p>
            <w:pPr>
              <w:autoSpaceDN w:val="0"/>
              <w:autoSpaceDE w:val="0"/>
              <w:widowControl/>
              <w:spacing w:line="320" w:lineRule="exact" w:before="0" w:after="0"/>
              <w:ind w:left="30" w:right="0" w:firstLine="0"/>
              <w:jc w:val="left"/>
            </w:pPr>
            <w:r>
              <w:rPr>
                <w:rFonts w:ascii="DejaVuSans" w:hAnsi="DejaVuSans" w:eastAsia="DejaVuSans"/>
                <w:b w:val="0"/>
                <w:i w:val="0"/>
                <w:color w:val="000000"/>
                <w:sz w:val="19"/>
              </w:rPr>
              <w:t>Percentual de registros do período</w:t>
            </w:r>
          </w:p>
        </w:tc>
        <w:tc>
          <w:tcPr>
            <w:tcW w:type="dxa" w:w="10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24" w:after="0"/>
              <w:ind w:left="192" w:right="0" w:firstLine="0"/>
              <w:jc w:val="left"/>
            </w:pPr>
            <w:r>
              <w:rPr>
                <w:w w:val="101.86517378863167"/>
                <w:rFonts w:ascii="DejaVuSans" w:hAnsi="DejaVuSans" w:eastAsia="DejaVuSans"/>
                <w:b w:val="0"/>
                <w:i w:val="0"/>
                <w:color w:val="000000"/>
                <w:sz w:val="17"/>
              </w:rPr>
              <w:t>12</w:t>
            </w:r>
          </w:p>
        </w:tc>
      </w:tr>
    </w:tbl>
    <w:p>
      <w:pPr>
        <w:autoSpaceDN w:val="0"/>
        <w:autoSpaceDE w:val="0"/>
        <w:widowControl/>
        <w:spacing w:line="218" w:lineRule="exact" w:before="230" w:after="0"/>
        <w:ind w:left="1510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Gráfico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5.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Evolução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das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palavras-chave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entre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2010–2020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2021–2026</w:t>
      </w:r>
    </w:p>
    <w:p>
      <w:pPr>
        <w:autoSpaceDN w:val="0"/>
        <w:autoSpaceDE w:val="0"/>
        <w:widowControl/>
        <w:spacing w:line="240" w:lineRule="exact" w:before="484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quando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identificados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estudos.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Gráfico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6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apresenta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distribuição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anual.</w:t>
      </w:r>
    </w:p>
    <w:p>
      <w:pPr>
        <w:autoSpaceDN w:val="0"/>
        <w:autoSpaceDE w:val="0"/>
        <w:widowControl/>
        <w:spacing w:line="288" w:lineRule="exact" w:before="0" w:after="0"/>
        <w:ind w:left="250" w:right="64" w:firstLine="362"/>
        <w:jc w:val="both"/>
      </w:pP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deduplicação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preservou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todas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bases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cada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estudo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foi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recuperado.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Entre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 xml:space="preserve">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104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únicos,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52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encontrados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apenas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Scopus,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Scopus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Web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of 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Science,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cinco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apenas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na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Web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Science,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três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nas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três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bases,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dois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na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Scopus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 xml:space="preserve">Crossref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apenas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Crossref.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essa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razão,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contagem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representa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proveniência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 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admite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respostas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múltiplas: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98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registros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possuem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origem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Scopus,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49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possuem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origem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 xml:space="preserve">Web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Science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possuem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origem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Crossref.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tamanhos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distintos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do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corpus: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núcleo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permanece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composto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104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registros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únicos,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mesmo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registro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pode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recuperado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base.</w:t>
      </w:r>
    </w:p>
    <w:p>
      <w:pPr>
        <w:autoSpaceDN w:val="0"/>
        <w:autoSpaceDE w:val="0"/>
        <w:widowControl/>
        <w:spacing w:line="288" w:lineRule="exact" w:before="2" w:after="0"/>
        <w:ind w:left="252" w:right="0" w:firstLine="352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tipologia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harmonizada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evitar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rótulos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equivalentes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fossem 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apresentados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categorias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distintas.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Os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rótulos</w:t>
      </w:r>
      <w:r>
        <w:rPr>
          <w:w w:val="98.67567221323648"/>
          <w:rFonts w:ascii="LMRoman12" w:hAnsi="LMRoman12" w:eastAsia="LMRoman12"/>
          <w:b w:val="0"/>
          <w:i/>
          <w:color w:val="000000"/>
          <w:sz w:val="24"/>
        </w:rPr>
        <w:t>Journal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w w:val="98.67567221323648"/>
          <w:rFonts w:ascii="LMRoman12" w:hAnsi="LMRoman12" w:eastAsia="LMRoman12"/>
          <w:b w:val="0"/>
          <w:i/>
          <w:color w:val="000000"/>
          <w:sz w:val="24"/>
        </w:rPr>
        <w:t>JOUR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w w:val="98.67567221323648"/>
          <w:rFonts w:ascii="LMRoman12" w:hAnsi="LMRoman12" w:eastAsia="LMRoman12"/>
          <w:b w:val="0"/>
          <w:i/>
          <w:color w:val="000000"/>
          <w:sz w:val="24"/>
        </w:rPr>
        <w:t>journal-article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 xml:space="preserve">foram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reunidos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artigo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periódico.</w:t>
      </w:r>
      <w:r>
        <w:rPr>
          <w:rFonts w:ascii="LMRoman12" w:hAnsi="LMRoman12" w:eastAsia="LMRoman12"/>
          <w:b w:val="0"/>
          <w:i/>
          <w:color w:val="000000"/>
          <w:sz w:val="24"/>
        </w:rPr>
        <w:t>Conference</w:t>
      </w:r>
      <w:r>
        <w:rPr>
          <w:rFonts w:ascii="LMRoman12" w:hAnsi="LMRoman12" w:eastAsia="LMRoman12"/>
          <w:b w:val="0"/>
          <w:i/>
          <w:color w:val="000000"/>
          <w:sz w:val="24"/>
        </w:rPr>
        <w:t>Proceeding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/>
          <w:color w:val="000000"/>
          <w:sz w:val="24"/>
        </w:rPr>
        <w:t>CPAPER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reunidos 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trabalho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evento.</w:t>
      </w:r>
      <w:r>
        <w:rPr>
          <w:w w:val="98.67567221323648"/>
          <w:rFonts w:ascii="LMRoman12" w:hAnsi="LMRoman12" w:eastAsia="LMRoman12"/>
          <w:b w:val="0"/>
          <w:i/>
          <w:color w:val="000000"/>
          <w:sz w:val="24"/>
        </w:rPr>
        <w:t>Book</w:t>
      </w:r>
      <w:r>
        <w:rPr>
          <w:w w:val="98.67567221323648"/>
          <w:rFonts w:ascii="LMRoman12" w:hAnsi="LMRoman12" w:eastAsia="LMRoman12"/>
          <w:b w:val="0"/>
          <w:i/>
          <w:color w:val="000000"/>
          <w:sz w:val="24"/>
        </w:rPr>
        <w:t>Series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w w:val="98.67567221323648"/>
          <w:rFonts w:ascii="LMRoman12" w:hAnsi="LMRoman12" w:eastAsia="LMRoman12"/>
          <w:b w:val="0"/>
          <w:i/>
          <w:color w:val="000000"/>
          <w:sz w:val="24"/>
        </w:rPr>
        <w:t>Book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foram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reunidos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livro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ou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série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 xml:space="preserve">livro.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Tabela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apresenta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duas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dimensões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separadamente.</w:t>
      </w:r>
    </w:p>
    <w:p>
      <w:pPr>
        <w:autoSpaceDN w:val="0"/>
        <w:tabs>
          <w:tab w:pos="842" w:val="left"/>
        </w:tabs>
        <w:autoSpaceDE w:val="0"/>
        <w:widowControl/>
        <w:spacing w:line="344" w:lineRule="exact" w:before="478" w:after="0"/>
        <w:ind w:left="260" w:right="0" w:firstLine="0"/>
        <w:jc w:val="left"/>
      </w:pP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 xml:space="preserve">6 </w:t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Critérios</w:t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de</w:t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sustentabilidade</w:t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e</w:t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priorização</w:t>
      </w:r>
    </w:p>
    <w:p>
      <w:pPr>
        <w:autoSpaceDN w:val="0"/>
        <w:autoSpaceDE w:val="0"/>
        <w:widowControl/>
        <w:spacing w:line="288" w:lineRule="exact" w:before="214" w:after="0"/>
        <w:ind w:left="260" w:right="26" w:hanging="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codificação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identificou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dimensões,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respostas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múltiplas: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técnica-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operacional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102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institucional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92,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ambiental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84,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ciclo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60,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econômica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59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social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57.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predomínio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duas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primeiras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reflete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também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</w:p>
    <w:p>
      <w:pPr>
        <w:autoSpaceDN w:val="0"/>
        <w:autoSpaceDE w:val="0"/>
        <w:widowControl/>
        <w:spacing w:line="238" w:lineRule="exact" w:before="526" w:after="0"/>
        <w:ind w:left="0" w:right="448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13</w:t>
      </w:r>
    </w:p>
    <w:p>
      <w:pPr>
        <w:sectPr>
          <w:pgSz w:w="11906" w:h="16838"/>
          <w:pgMar w:top="850" w:right="1068" w:bottom="24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71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184140" cy="302514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184140" cy="3025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18" w:lineRule="exact" w:before="218" w:after="0"/>
        <w:ind w:left="0" w:right="2308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Gráfico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6.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Distribuição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temporal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núcleo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final</w:t>
      </w:r>
    </w:p>
    <w:p>
      <w:pPr>
        <w:autoSpaceDN w:val="0"/>
        <w:autoSpaceDE w:val="0"/>
        <w:widowControl/>
        <w:spacing w:line="218" w:lineRule="exact" w:before="292" w:after="232"/>
        <w:ind w:left="1146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Tabela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7.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Distribuição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núcleo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final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por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base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origem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tipo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documental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2349"/>
        <w:gridCol w:w="2349"/>
        <w:gridCol w:w="2349"/>
        <w:gridCol w:w="2349"/>
      </w:tblGrid>
      <w:tr>
        <w:trPr>
          <w:trHeight w:hRule="exact" w:val="362"/>
        </w:trPr>
        <w:tc>
          <w:tcPr>
            <w:tcW w:type="dxa" w:w="1808"/>
            <w:tcBorders>
              <w:top w:sz="7.48799991607666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8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Categoria</w:t>
            </w:r>
          </w:p>
        </w:tc>
        <w:tc>
          <w:tcPr>
            <w:tcW w:type="dxa" w:w="1860"/>
            <w:tcBorders>
              <w:top w:sz="7.48799991607666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8" w:after="0"/>
              <w:ind w:left="0" w:right="18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Registros</w:t>
            </w:r>
          </w:p>
        </w:tc>
        <w:tc>
          <w:tcPr>
            <w:tcW w:type="dxa" w:w="1180"/>
            <w:tcBorders>
              <w:top w:sz="7.48799991607666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8" w:after="0"/>
              <w:ind w:left="19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%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104</w:t>
            </w:r>
          </w:p>
        </w:tc>
        <w:tc>
          <w:tcPr>
            <w:tcW w:type="dxa" w:w="4242"/>
            <w:tcBorders>
              <w:top w:sz="7.48799991607666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8" w:after="0"/>
              <w:ind w:left="13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Observação</w:t>
            </w:r>
          </w:p>
        </w:tc>
      </w:tr>
    </w:tbl>
    <w:p>
      <w:pPr>
        <w:autoSpaceDN w:val="0"/>
        <w:autoSpaceDE w:val="0"/>
        <w:widowControl/>
        <w:spacing w:line="200" w:lineRule="exact" w:before="74" w:after="20"/>
        <w:ind w:left="380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>A.</w:t>
      </w:r>
      <w:r>
        <w:rPr>
          <w:rFonts w:ascii="LMRoman10" w:hAnsi="LMRoman10" w:eastAsia="LMRoman10"/>
          <w:b/>
          <w:i w:val="0"/>
          <w:color w:val="000000"/>
          <w:sz w:val="20"/>
        </w:rPr>
        <w:t>Registros</w:t>
      </w:r>
      <w:r>
        <w:rPr>
          <w:rFonts w:ascii="LMRoman10" w:hAnsi="LMRoman10" w:eastAsia="LMRoman10"/>
          <w:b/>
          <w:i w:val="0"/>
          <w:color w:val="000000"/>
          <w:sz w:val="20"/>
        </w:rPr>
        <w:t>do</w:t>
      </w:r>
      <w:r>
        <w:rPr>
          <w:rFonts w:ascii="LMRoman10" w:hAnsi="LMRoman10" w:eastAsia="LMRoman10"/>
          <w:b/>
          <w:i w:val="0"/>
          <w:color w:val="000000"/>
          <w:sz w:val="20"/>
        </w:rPr>
        <w:t>núcleo</w:t>
      </w:r>
      <w:r>
        <w:rPr>
          <w:rFonts w:ascii="LMRoman10" w:hAnsi="LMRoman10" w:eastAsia="LMRoman10"/>
          <w:b/>
          <w:i w:val="0"/>
          <w:color w:val="000000"/>
          <w:sz w:val="20"/>
        </w:rPr>
        <w:t>com</w:t>
      </w:r>
      <w:r>
        <w:rPr>
          <w:rFonts w:ascii="LMRoman10" w:hAnsi="LMRoman10" w:eastAsia="LMRoman10"/>
          <w:b/>
          <w:i w:val="0"/>
          <w:color w:val="000000"/>
          <w:sz w:val="20"/>
        </w:rPr>
        <w:t>origem</w:t>
      </w:r>
      <w:r>
        <w:rPr>
          <w:rFonts w:ascii="LMRoman10" w:hAnsi="LMRoman10" w:eastAsia="LMRoman10"/>
          <w:b/>
          <w:i w:val="0"/>
          <w:color w:val="000000"/>
          <w:sz w:val="20"/>
        </w:rPr>
        <w:t>na</w:t>
      </w:r>
      <w:r>
        <w:rPr>
          <w:rFonts w:ascii="LMRoman10" w:hAnsi="LMRoman10" w:eastAsia="LMRoman10"/>
          <w:b/>
          <w:i w:val="0"/>
          <w:color w:val="000000"/>
          <w:sz w:val="20"/>
        </w:rPr>
        <w:t>base,</w:t>
      </w:r>
      <w:r>
        <w:rPr>
          <w:rFonts w:ascii="LMRoman10" w:hAnsi="LMRoman10" w:eastAsia="LMRoman10"/>
          <w:b/>
          <w:i w:val="0"/>
          <w:color w:val="000000"/>
          <w:sz w:val="20"/>
        </w:rPr>
        <w:t>respostas</w:t>
      </w:r>
      <w:r>
        <w:rPr>
          <w:rFonts w:ascii="LMRoman10" w:hAnsi="LMRoman10" w:eastAsia="LMRoman10"/>
          <w:b/>
          <w:i w:val="0"/>
          <w:color w:val="000000"/>
          <w:sz w:val="20"/>
        </w:rPr>
        <w:t>múltiplas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2349"/>
        <w:gridCol w:w="2349"/>
        <w:gridCol w:w="2349"/>
        <w:gridCol w:w="2349"/>
      </w:tblGrid>
      <w:tr>
        <w:trPr>
          <w:trHeight w:hRule="exact" w:val="222"/>
        </w:trPr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0" w:after="0"/>
              <w:ind w:left="2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Scopus</w:t>
            </w:r>
          </w:p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0" w:after="0"/>
              <w:ind w:left="0" w:right="44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98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0" w:after="0"/>
              <w:ind w:left="0" w:right="10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94,2</w:t>
            </w:r>
          </w:p>
        </w:tc>
        <w:tc>
          <w:tcPr>
            <w:tcW w:type="dxa" w:w="3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0" w:after="0"/>
              <w:ind w:left="13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Base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bibliográfica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principal.</w:t>
            </w:r>
          </w:p>
        </w:tc>
      </w:tr>
      <w:tr>
        <w:trPr>
          <w:trHeight w:hRule="exact" w:val="240"/>
        </w:trPr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38" w:after="0"/>
              <w:ind w:left="2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Web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of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Science</w:t>
            </w:r>
          </w:p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38" w:after="0"/>
              <w:ind w:left="0" w:right="44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49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38" w:after="0"/>
              <w:ind w:left="0" w:right="10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47,1</w:t>
            </w:r>
          </w:p>
        </w:tc>
        <w:tc>
          <w:tcPr>
            <w:tcW w:type="dxa" w:w="3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38" w:after="0"/>
              <w:ind w:left="13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Base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bibliográfica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independente.</w:t>
            </w:r>
          </w:p>
        </w:tc>
      </w:tr>
      <w:tr>
        <w:trPr>
          <w:trHeight w:hRule="exact" w:val="296"/>
        </w:trPr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6" w:after="0"/>
              <w:ind w:left="2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Crossref</w:t>
            </w:r>
          </w:p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6" w:after="0"/>
              <w:ind w:left="0" w:right="44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6" w:after="0"/>
              <w:ind w:left="0" w:right="10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5,8</w:t>
            </w:r>
          </w:p>
        </w:tc>
        <w:tc>
          <w:tcPr>
            <w:tcW w:type="dxa" w:w="3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6" w:after="0"/>
              <w:ind w:left="13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Fonte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complementar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metadados.</w:t>
            </w:r>
          </w:p>
        </w:tc>
      </w:tr>
    </w:tbl>
    <w:p>
      <w:pPr>
        <w:autoSpaceDN w:val="0"/>
        <w:autoSpaceDE w:val="0"/>
        <w:widowControl/>
        <w:spacing w:line="200" w:lineRule="exact" w:before="96" w:after="20"/>
        <w:ind w:left="380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>B.</w:t>
      </w:r>
      <w:r>
        <w:rPr>
          <w:rFonts w:ascii="LMRoman10" w:hAnsi="LMRoman10" w:eastAsia="LMRoman10"/>
          <w:b/>
          <w:i w:val="0"/>
          <w:color w:val="000000"/>
          <w:sz w:val="20"/>
        </w:rPr>
        <w:t>Tipo</w:t>
      </w:r>
      <w:r>
        <w:rPr>
          <w:rFonts w:ascii="LMRoman10" w:hAnsi="LMRoman10" w:eastAsia="LMRoman10"/>
          <w:b/>
          <w:i w:val="0"/>
          <w:color w:val="000000"/>
          <w:sz w:val="20"/>
        </w:rPr>
        <w:t>documental</w:t>
      </w:r>
      <w:r>
        <w:rPr>
          <w:rFonts w:ascii="LMRoman10" w:hAnsi="LMRoman10" w:eastAsia="LMRoman10"/>
          <w:b/>
          <w:i w:val="0"/>
          <w:color w:val="000000"/>
          <w:sz w:val="20"/>
        </w:rPr>
        <w:t>harmonizado,</w:t>
      </w:r>
      <w:r>
        <w:rPr>
          <w:rFonts w:ascii="LMRoman10" w:hAnsi="LMRoman10" w:eastAsia="LMRoman10"/>
          <w:b/>
          <w:i w:val="0"/>
          <w:color w:val="000000"/>
          <w:sz w:val="20"/>
        </w:rPr>
        <w:t>categorias</w:t>
      </w:r>
      <w:r>
        <w:rPr>
          <w:rFonts w:ascii="LMRoman10" w:hAnsi="LMRoman10" w:eastAsia="LMRoman10"/>
          <w:b/>
          <w:i w:val="0"/>
          <w:color w:val="000000"/>
          <w:sz w:val="20"/>
        </w:rPr>
        <w:t>exclusivas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2349"/>
        <w:gridCol w:w="2349"/>
        <w:gridCol w:w="2349"/>
        <w:gridCol w:w="2349"/>
      </w:tblGrid>
      <w:tr>
        <w:trPr>
          <w:trHeight w:hRule="exact" w:val="228"/>
        </w:trPr>
        <w:tc>
          <w:tcPr>
            <w:tcW w:type="dxa" w:w="26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0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Artigo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periódico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0" w:after="0"/>
              <w:ind w:left="0" w:right="44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79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0" w:after="0"/>
              <w:ind w:left="0" w:right="10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76,0</w:t>
            </w:r>
          </w:p>
        </w:tc>
        <w:tc>
          <w:tcPr>
            <w:tcW w:type="dxa" w:w="42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0" w:after="0"/>
              <w:ind w:left="136" w:right="0" w:firstLine="0"/>
              <w:jc w:val="left"/>
            </w:pPr>
            <w:r>
              <w:rPr>
                <w:rFonts w:ascii="LMRoman10" w:hAnsi="LMRoman10" w:eastAsia="LMRoman10"/>
                <w:b w:val="0"/>
                <w:i/>
                <w:color w:val="000000"/>
                <w:sz w:val="20"/>
              </w:rPr>
              <w:t>Journal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,</w:t>
            </w:r>
            <w:r>
              <w:rPr>
                <w:rFonts w:ascii="LMRoman10" w:hAnsi="LMRoman10" w:eastAsia="LMRoman10"/>
                <w:b w:val="0"/>
                <w:i/>
                <w:color w:val="000000"/>
                <w:sz w:val="20"/>
              </w:rPr>
              <w:t>JOUR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</w:t>
            </w:r>
            <w:r>
              <w:rPr>
                <w:rFonts w:ascii="LMRoman10" w:hAnsi="LMRoman10" w:eastAsia="LMRoman10"/>
                <w:b w:val="0"/>
                <w:i/>
                <w:color w:val="000000"/>
                <w:sz w:val="20"/>
              </w:rPr>
              <w:t>journal-article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.</w:t>
            </w:r>
          </w:p>
        </w:tc>
      </w:tr>
      <w:tr>
        <w:trPr>
          <w:trHeight w:hRule="exact" w:val="240"/>
        </w:trPr>
        <w:tc>
          <w:tcPr>
            <w:tcW w:type="dxa" w:w="26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0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Trabalho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em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evento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0" w:after="0"/>
              <w:ind w:left="0" w:right="44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0" w:after="0"/>
              <w:ind w:left="0" w:right="10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14,4</w:t>
            </w:r>
          </w:p>
        </w:tc>
        <w:tc>
          <w:tcPr>
            <w:tcW w:type="dxa" w:w="42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0" w:after="0"/>
              <w:ind w:left="136" w:right="0" w:firstLine="0"/>
              <w:jc w:val="left"/>
            </w:pPr>
            <w:r>
              <w:rPr>
                <w:rFonts w:ascii="LMRoman10" w:hAnsi="LMRoman10" w:eastAsia="LMRoman10"/>
                <w:b w:val="0"/>
                <w:i/>
                <w:color w:val="000000"/>
                <w:sz w:val="20"/>
              </w:rPr>
              <w:t>Conference</w:t>
            </w:r>
            <w:r>
              <w:rPr>
                <w:rFonts w:ascii="LMRoman10" w:hAnsi="LMRoman10" w:eastAsia="LMRoman10"/>
                <w:b w:val="0"/>
                <w:i/>
                <w:color w:val="000000"/>
                <w:sz w:val="20"/>
              </w:rPr>
              <w:t>Proceeding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</w:t>
            </w:r>
            <w:r>
              <w:rPr>
                <w:rFonts w:ascii="LMRoman10" w:hAnsi="LMRoman10" w:eastAsia="LMRoman10"/>
                <w:b w:val="0"/>
                <w:i/>
                <w:color w:val="000000"/>
                <w:sz w:val="20"/>
              </w:rPr>
              <w:t>CPAPER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.</w:t>
            </w:r>
          </w:p>
        </w:tc>
      </w:tr>
      <w:tr>
        <w:trPr>
          <w:trHeight w:hRule="exact" w:val="308"/>
        </w:trPr>
        <w:tc>
          <w:tcPr>
            <w:tcW w:type="dxa" w:w="2668"/>
            <w:tcBorders>
              <w:bottom w:sz="7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0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Livro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ou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série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livro</w:t>
            </w:r>
          </w:p>
        </w:tc>
        <w:tc>
          <w:tcPr>
            <w:tcW w:type="dxa" w:w="1260"/>
            <w:tcBorders>
              <w:bottom w:sz="7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0" w:after="0"/>
              <w:ind w:left="0" w:right="44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920"/>
            <w:tcBorders>
              <w:bottom w:sz="7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0" w:after="0"/>
              <w:ind w:left="0" w:right="10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9,6</w:t>
            </w:r>
          </w:p>
        </w:tc>
        <w:tc>
          <w:tcPr>
            <w:tcW w:type="dxa" w:w="4242"/>
            <w:tcBorders>
              <w:bottom w:sz="7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0" w:after="0"/>
              <w:ind w:left="136" w:right="0" w:firstLine="0"/>
              <w:jc w:val="left"/>
            </w:pPr>
            <w:r>
              <w:rPr>
                <w:rFonts w:ascii="LMRoman10" w:hAnsi="LMRoman10" w:eastAsia="LMRoman10"/>
                <w:b w:val="0"/>
                <w:i/>
                <w:color w:val="000000"/>
                <w:sz w:val="20"/>
              </w:rPr>
              <w:t>Book</w:t>
            </w:r>
            <w:r>
              <w:rPr>
                <w:rFonts w:ascii="LMRoman10" w:hAnsi="LMRoman10" w:eastAsia="LMRoman10"/>
                <w:b w:val="0"/>
                <w:i/>
                <w:color w:val="000000"/>
                <w:sz w:val="20"/>
              </w:rPr>
              <w:t>Series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</w:t>
            </w:r>
            <w:r>
              <w:rPr>
                <w:rFonts w:ascii="LMRoman10" w:hAnsi="LMRoman10" w:eastAsia="LMRoman10"/>
                <w:b w:val="0"/>
                <w:i/>
                <w:color w:val="000000"/>
                <w:sz w:val="20"/>
              </w:rPr>
              <w:t>Book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.</w:t>
            </w:r>
          </w:p>
        </w:tc>
      </w:tr>
    </w:tbl>
    <w:p>
      <w:pPr>
        <w:autoSpaceDN w:val="0"/>
        <w:autoSpaceDE w:val="0"/>
        <w:widowControl/>
        <w:spacing w:line="200" w:lineRule="exact" w:before="70" w:after="0"/>
        <w:ind w:left="0" w:right="3336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Fonte: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elaborado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pelo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autor.</w:t>
      </w:r>
    </w:p>
    <w:p>
      <w:pPr>
        <w:autoSpaceDN w:val="0"/>
        <w:autoSpaceDE w:val="0"/>
        <w:widowControl/>
        <w:spacing w:line="288" w:lineRule="exact" w:before="396" w:after="0"/>
        <w:ind w:left="252" w:right="0" w:firstLine="8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amplitude do codebook e não demonstra aplicação empírica ou maior importância científica. 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composição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é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compatível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com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gestão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facilidades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sustentável,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articula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 xml:space="preserve">impactos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ambientais,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sociais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econômicos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níveis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estratégico,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tático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operacional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(NIELSEN;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SARASOJA; GALAMBA, 2016; OKORO, 2023), e com avaliações de edifícios educacionais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combinam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desempenho,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energia,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conforto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usuários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(ALFALAH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2022).</w:t>
      </w:r>
    </w:p>
    <w:p>
      <w:pPr>
        <w:autoSpaceDN w:val="0"/>
        <w:tabs>
          <w:tab w:pos="260" w:val="left"/>
          <w:tab w:pos="612" w:val="left"/>
        </w:tabs>
        <w:autoSpaceDE w:val="0"/>
        <w:widowControl/>
        <w:spacing w:line="288" w:lineRule="exact" w:before="2" w:after="0"/>
        <w:ind w:left="234" w:right="0" w:firstLine="0"/>
        <w:jc w:val="left"/>
      </w:pP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referência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explícita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apareceu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integrou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sustentabili-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dade,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AHP,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TOPSIS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otimização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alocação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prestadores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manutenção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pública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(MASMOUDI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2026).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identificado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campos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auditados,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embora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componentes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ambientais,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sociais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institucionais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fossem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frequentes.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literatura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explícito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vocabulário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gestão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facilidades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ainda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é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emergente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(RAMANTSWANA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2026).</w:t>
      </w:r>
    </w:p>
    <w:p>
      <w:pPr>
        <w:autoSpaceDN w:val="0"/>
        <w:autoSpaceDE w:val="0"/>
        <w:widowControl/>
        <w:spacing w:line="288" w:lineRule="exact" w:before="2" w:after="0"/>
        <w:ind w:left="260" w:right="64" w:firstLine="35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Desempenho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operacional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aparece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93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informação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76,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custo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60,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útil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energia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36.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Condição,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risco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manutenibilidade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completam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núcleo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técnico;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conforto,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segurança,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satisfação,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emissões,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resíduos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água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representam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efeitos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sociais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ambientais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específicos.</w:t>
      </w:r>
    </w:p>
    <w:p>
      <w:pPr>
        <w:autoSpaceDN w:val="0"/>
        <w:autoSpaceDE w:val="0"/>
        <w:widowControl/>
        <w:spacing w:line="288" w:lineRule="exact" w:before="0" w:after="0"/>
        <w:ind w:left="260" w:right="0" w:firstLine="352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gestão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pública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universitária,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desempenho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sustenta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indicadores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continuidade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falha;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informação,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requisitos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rastreabilidade;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custo,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distinção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correção</w:t>
      </w:r>
    </w:p>
    <w:p>
      <w:pPr>
        <w:autoSpaceDN w:val="0"/>
        <w:autoSpaceDE w:val="0"/>
        <w:widowControl/>
        <w:spacing w:line="238" w:lineRule="exact" w:before="370" w:after="0"/>
        <w:ind w:left="0" w:right="448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14</w:t>
      </w:r>
    </w:p>
    <w:p>
      <w:pPr>
        <w:sectPr>
          <w:pgSz w:w="11906" w:h="16838"/>
          <w:pgMar w:top="850" w:right="1068" w:bottom="24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71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184140" cy="317246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184140" cy="3172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18" w:lineRule="exact" w:before="218" w:after="0"/>
        <w:ind w:left="1466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Gráfico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7.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Dimensões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sustentabilidade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identificadas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no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núcleo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final</w:t>
      </w:r>
    </w:p>
    <w:p>
      <w:pPr>
        <w:autoSpaceDN w:val="0"/>
        <w:autoSpaceDE w:val="0"/>
        <w:widowControl/>
        <w:spacing w:line="218" w:lineRule="exact" w:before="292" w:after="232"/>
        <w:ind w:left="1826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Tabela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8.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Critérios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priorização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identificados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no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núcleo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final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3121"/>
        <w:gridCol w:w="3121"/>
        <w:gridCol w:w="3121"/>
      </w:tblGrid>
      <w:tr>
        <w:trPr>
          <w:trHeight w:hRule="exact" w:val="394"/>
        </w:trPr>
        <w:tc>
          <w:tcPr>
            <w:tcW w:type="dxa" w:w="4568"/>
            <w:tcBorders>
              <w:top w:sz="7.48799991607666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6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Critério</w:t>
            </w:r>
          </w:p>
        </w:tc>
        <w:tc>
          <w:tcPr>
            <w:tcW w:type="dxa" w:w="3180"/>
            <w:tcBorders>
              <w:top w:sz="7.48799991607666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6" w:after="0"/>
              <w:ind w:left="0" w:right="21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Registros</w:t>
            </w:r>
          </w:p>
        </w:tc>
        <w:tc>
          <w:tcPr>
            <w:tcW w:type="dxa" w:w="1342"/>
            <w:tcBorders>
              <w:top w:sz="7.48799991607666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6" w:after="0"/>
              <w:ind w:left="24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%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104</w:t>
            </w:r>
          </w:p>
        </w:tc>
      </w:tr>
      <w:tr>
        <w:trPr>
          <w:trHeight w:hRule="exact" w:val="322"/>
        </w:trPr>
        <w:tc>
          <w:tcPr>
            <w:tcW w:type="dxa" w:w="4568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6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Desempenho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operacional</w:t>
            </w:r>
          </w:p>
        </w:tc>
        <w:tc>
          <w:tcPr>
            <w:tcW w:type="dxa" w:w="3180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6" w:after="0"/>
              <w:ind w:left="0" w:right="21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93</w:t>
            </w:r>
          </w:p>
        </w:tc>
        <w:tc>
          <w:tcPr>
            <w:tcW w:type="dxa" w:w="1342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6" w:after="0"/>
              <w:ind w:left="0" w:right="12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89,4</w:t>
            </w:r>
          </w:p>
        </w:tc>
      </w:tr>
      <w:tr>
        <w:trPr>
          <w:trHeight w:hRule="exact" w:val="280"/>
        </w:trPr>
        <w:tc>
          <w:tcPr>
            <w:tcW w:type="dxa" w:w="45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Informação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dados</w:t>
            </w:r>
          </w:p>
        </w:tc>
        <w:tc>
          <w:tcPr>
            <w:tcW w:type="dxa" w:w="3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0" w:right="21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76</w:t>
            </w:r>
          </w:p>
        </w:tc>
        <w:tc>
          <w:tcPr>
            <w:tcW w:type="dxa" w:w="13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0" w:right="13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73,1</w:t>
            </w:r>
          </w:p>
        </w:tc>
      </w:tr>
      <w:tr>
        <w:trPr>
          <w:trHeight w:hRule="exact" w:val="260"/>
        </w:trPr>
        <w:tc>
          <w:tcPr>
            <w:tcW w:type="dxa" w:w="45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2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Custo</w:t>
            </w:r>
          </w:p>
        </w:tc>
        <w:tc>
          <w:tcPr>
            <w:tcW w:type="dxa" w:w="3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2" w:after="0"/>
              <w:ind w:left="0" w:right="21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60</w:t>
            </w:r>
          </w:p>
        </w:tc>
        <w:tc>
          <w:tcPr>
            <w:tcW w:type="dxa" w:w="13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2" w:after="0"/>
              <w:ind w:left="0" w:right="13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57,7</w:t>
            </w:r>
          </w:p>
        </w:tc>
      </w:tr>
      <w:tr>
        <w:trPr>
          <w:trHeight w:hRule="exact" w:val="280"/>
        </w:trPr>
        <w:tc>
          <w:tcPr>
            <w:tcW w:type="dxa" w:w="45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4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Vida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útil</w:t>
            </w:r>
          </w:p>
        </w:tc>
        <w:tc>
          <w:tcPr>
            <w:tcW w:type="dxa" w:w="3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4" w:after="0"/>
              <w:ind w:left="0" w:right="21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40</w:t>
            </w:r>
          </w:p>
        </w:tc>
        <w:tc>
          <w:tcPr>
            <w:tcW w:type="dxa" w:w="13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4" w:after="0"/>
              <w:ind w:left="0" w:right="13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38,5</w:t>
            </w:r>
          </w:p>
        </w:tc>
      </w:tr>
      <w:tr>
        <w:trPr>
          <w:trHeight w:hRule="exact" w:val="260"/>
        </w:trPr>
        <w:tc>
          <w:tcPr>
            <w:tcW w:type="dxa" w:w="45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4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Energia</w:t>
            </w:r>
          </w:p>
        </w:tc>
        <w:tc>
          <w:tcPr>
            <w:tcW w:type="dxa" w:w="3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4" w:after="0"/>
              <w:ind w:left="0" w:right="21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36</w:t>
            </w:r>
          </w:p>
        </w:tc>
        <w:tc>
          <w:tcPr>
            <w:tcW w:type="dxa" w:w="13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4" w:after="0"/>
              <w:ind w:left="0" w:right="13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34,6</w:t>
            </w:r>
          </w:p>
        </w:tc>
      </w:tr>
      <w:tr>
        <w:trPr>
          <w:trHeight w:hRule="exact" w:val="280"/>
        </w:trPr>
        <w:tc>
          <w:tcPr>
            <w:tcW w:type="dxa" w:w="45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6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Risco</w:t>
            </w:r>
          </w:p>
        </w:tc>
        <w:tc>
          <w:tcPr>
            <w:tcW w:type="dxa" w:w="3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6" w:after="0"/>
              <w:ind w:left="0" w:right="21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31</w:t>
            </w:r>
          </w:p>
        </w:tc>
        <w:tc>
          <w:tcPr>
            <w:tcW w:type="dxa" w:w="13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6" w:after="0"/>
              <w:ind w:left="0" w:right="13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29,8</w:t>
            </w:r>
          </w:p>
        </w:tc>
      </w:tr>
      <w:tr>
        <w:trPr>
          <w:trHeight w:hRule="exact" w:val="280"/>
        </w:trPr>
        <w:tc>
          <w:tcPr>
            <w:tcW w:type="dxa" w:w="45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6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Condição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física</w:t>
            </w:r>
          </w:p>
        </w:tc>
        <w:tc>
          <w:tcPr>
            <w:tcW w:type="dxa" w:w="3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6" w:after="0"/>
              <w:ind w:left="0" w:right="21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27</w:t>
            </w:r>
          </w:p>
        </w:tc>
        <w:tc>
          <w:tcPr>
            <w:tcW w:type="dxa" w:w="13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6" w:after="0"/>
              <w:ind w:left="0" w:right="13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26,0</w:t>
            </w:r>
          </w:p>
        </w:tc>
      </w:tr>
      <w:tr>
        <w:trPr>
          <w:trHeight w:hRule="exact" w:val="260"/>
        </w:trPr>
        <w:tc>
          <w:tcPr>
            <w:tcW w:type="dxa" w:w="45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8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Manutenibilidade</w:t>
            </w:r>
          </w:p>
        </w:tc>
        <w:tc>
          <w:tcPr>
            <w:tcW w:type="dxa" w:w="3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8" w:after="0"/>
              <w:ind w:left="0" w:right="21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19</w:t>
            </w:r>
          </w:p>
        </w:tc>
        <w:tc>
          <w:tcPr>
            <w:tcW w:type="dxa" w:w="13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8" w:after="0"/>
              <w:ind w:left="0" w:right="12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18,3</w:t>
            </w:r>
          </w:p>
        </w:tc>
      </w:tr>
      <w:tr>
        <w:trPr>
          <w:trHeight w:hRule="exact" w:val="280"/>
        </w:trPr>
        <w:tc>
          <w:tcPr>
            <w:tcW w:type="dxa" w:w="45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8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Conforto</w:t>
            </w:r>
          </w:p>
        </w:tc>
        <w:tc>
          <w:tcPr>
            <w:tcW w:type="dxa" w:w="3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8" w:after="0"/>
              <w:ind w:left="0" w:right="21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17</w:t>
            </w:r>
          </w:p>
        </w:tc>
        <w:tc>
          <w:tcPr>
            <w:tcW w:type="dxa" w:w="13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8" w:after="0"/>
              <w:ind w:left="0" w:right="13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16,3</w:t>
            </w:r>
          </w:p>
        </w:tc>
      </w:tr>
      <w:tr>
        <w:trPr>
          <w:trHeight w:hRule="exact" w:val="260"/>
        </w:trPr>
        <w:tc>
          <w:tcPr>
            <w:tcW w:type="dxa" w:w="45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0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Segurança</w:t>
            </w:r>
          </w:p>
        </w:tc>
        <w:tc>
          <w:tcPr>
            <w:tcW w:type="dxa" w:w="3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0" w:after="0"/>
              <w:ind w:left="0" w:right="21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17</w:t>
            </w:r>
          </w:p>
        </w:tc>
        <w:tc>
          <w:tcPr>
            <w:tcW w:type="dxa" w:w="13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0" w:after="0"/>
              <w:ind w:left="0" w:right="13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16,3</w:t>
            </w:r>
          </w:p>
        </w:tc>
      </w:tr>
      <w:tr>
        <w:trPr>
          <w:trHeight w:hRule="exact" w:val="280"/>
        </w:trPr>
        <w:tc>
          <w:tcPr>
            <w:tcW w:type="dxa" w:w="45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0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Emissões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carbono</w:t>
            </w:r>
          </w:p>
        </w:tc>
        <w:tc>
          <w:tcPr>
            <w:tcW w:type="dxa" w:w="3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0" w:after="0"/>
              <w:ind w:left="0" w:right="21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15</w:t>
            </w:r>
          </w:p>
        </w:tc>
        <w:tc>
          <w:tcPr>
            <w:tcW w:type="dxa" w:w="13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0" w:after="0"/>
              <w:ind w:left="0" w:right="13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14,4</w:t>
            </w:r>
          </w:p>
        </w:tc>
      </w:tr>
      <w:tr>
        <w:trPr>
          <w:trHeight w:hRule="exact" w:val="260"/>
        </w:trPr>
        <w:tc>
          <w:tcPr>
            <w:tcW w:type="dxa" w:w="45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2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Resíduos</w:t>
            </w:r>
          </w:p>
        </w:tc>
        <w:tc>
          <w:tcPr>
            <w:tcW w:type="dxa" w:w="3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2" w:after="0"/>
              <w:ind w:left="0" w:right="21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13</w:t>
            </w:r>
          </w:p>
        </w:tc>
        <w:tc>
          <w:tcPr>
            <w:tcW w:type="dxa" w:w="13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2" w:after="0"/>
              <w:ind w:left="0" w:right="13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12,5</w:t>
            </w:r>
          </w:p>
        </w:tc>
      </w:tr>
      <w:tr>
        <w:trPr>
          <w:trHeight w:hRule="exact" w:val="280"/>
        </w:trPr>
        <w:tc>
          <w:tcPr>
            <w:tcW w:type="dxa" w:w="45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Satisfação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usuário</w:t>
            </w:r>
          </w:p>
        </w:tc>
        <w:tc>
          <w:tcPr>
            <w:tcW w:type="dxa" w:w="3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0" w:right="21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9</w:t>
            </w:r>
          </w:p>
        </w:tc>
        <w:tc>
          <w:tcPr>
            <w:tcW w:type="dxa" w:w="13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0" w:right="13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8,7</w:t>
            </w:r>
          </w:p>
        </w:tc>
      </w:tr>
      <w:tr>
        <w:trPr>
          <w:trHeight w:hRule="exact" w:val="280"/>
        </w:trPr>
        <w:tc>
          <w:tcPr>
            <w:tcW w:type="dxa" w:w="45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4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Qualidade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serviço</w:t>
            </w:r>
          </w:p>
        </w:tc>
        <w:tc>
          <w:tcPr>
            <w:tcW w:type="dxa" w:w="3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4" w:after="0"/>
              <w:ind w:left="0" w:right="21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6</w:t>
            </w:r>
          </w:p>
        </w:tc>
        <w:tc>
          <w:tcPr>
            <w:tcW w:type="dxa" w:w="13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4" w:after="0"/>
              <w:ind w:left="0" w:right="12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5,8</w:t>
            </w:r>
          </w:p>
        </w:tc>
      </w:tr>
      <w:tr>
        <w:trPr>
          <w:trHeight w:hRule="exact" w:val="336"/>
        </w:trPr>
        <w:tc>
          <w:tcPr>
            <w:tcW w:type="dxa" w:w="4568"/>
            <w:tcBorders>
              <w:bottom w:sz="7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6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Água</w:t>
            </w:r>
          </w:p>
        </w:tc>
        <w:tc>
          <w:tcPr>
            <w:tcW w:type="dxa" w:w="3180"/>
            <w:tcBorders>
              <w:bottom w:sz="7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6" w:after="0"/>
              <w:ind w:left="0" w:right="21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5</w:t>
            </w:r>
          </w:p>
        </w:tc>
        <w:tc>
          <w:tcPr>
            <w:tcW w:type="dxa" w:w="1342"/>
            <w:tcBorders>
              <w:bottom w:sz="7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6" w:after="0"/>
              <w:ind w:left="0" w:right="13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4,8</w:t>
            </w:r>
          </w:p>
        </w:tc>
      </w:tr>
    </w:tbl>
    <w:p>
      <w:pPr>
        <w:autoSpaceDN w:val="0"/>
        <w:autoSpaceDE w:val="0"/>
        <w:widowControl/>
        <w:spacing w:line="200" w:lineRule="exact" w:before="62" w:after="0"/>
        <w:ind w:left="0" w:right="3300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Fonte: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elaborado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pelo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autor.</w:t>
      </w:r>
    </w:p>
    <w:p>
      <w:pPr>
        <w:autoSpaceDN w:val="0"/>
        <w:autoSpaceDE w:val="0"/>
        <w:widowControl/>
        <w:spacing w:line="288" w:lineRule="exact" w:before="398" w:after="0"/>
        <w:ind w:left="144" w:right="28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emergencial,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manutenção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planejada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renovação.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Estudos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pagamento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(KIM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2018)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planejamento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conjunto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manutenção,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renovação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energia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(NÄGELI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2019)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reforçam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essa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combinação.</w:t>
      </w:r>
    </w:p>
    <w:p>
      <w:pPr>
        <w:autoSpaceDN w:val="0"/>
        <w:autoSpaceDE w:val="0"/>
        <w:widowControl/>
        <w:spacing w:line="290" w:lineRule="exact" w:before="0" w:after="0"/>
        <w:ind w:left="254" w:right="28" w:firstLine="352"/>
        <w:jc w:val="both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leituras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integrais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qualificam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mecanismos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subjacentes.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Aliu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al.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(2025)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situam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manutenção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acima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80%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custo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ciclo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50%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70%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dos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custos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operacionais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anuais;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Othman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Kamal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(2023)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indicam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até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50%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das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dificuldades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manutenção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poderiam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evitadas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decisões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ainda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concepção.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sistemas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vegetados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verticais,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acesso,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irrigação,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drenagem,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segurança,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degradação,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supervisão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coordenação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confirmam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manutenibilidade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integra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desempenho,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custo,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risco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recursos</w:t>
      </w:r>
    </w:p>
    <w:p>
      <w:pPr>
        <w:autoSpaceDN w:val="0"/>
        <w:autoSpaceDE w:val="0"/>
        <w:widowControl/>
        <w:spacing w:line="238" w:lineRule="exact" w:before="372" w:after="0"/>
        <w:ind w:left="0" w:right="4448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15</w:t>
      </w:r>
    </w:p>
    <w:p>
      <w:pPr>
        <w:sectPr>
          <w:pgSz w:w="11906" w:h="16838"/>
          <w:pgMar w:top="850" w:right="1104" w:bottom="24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6"/>
        <w:ind w:left="0" w:right="0"/>
      </w:pPr>
    </w:p>
    <w:p>
      <w:pPr>
        <w:autoSpaceDN w:val="0"/>
        <w:autoSpaceDE w:val="0"/>
        <w:widowControl/>
        <w:spacing w:line="238" w:lineRule="exact" w:before="0" w:after="0"/>
        <w:ind w:left="23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(CHEW;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CONEJOS,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2016;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CONEJOS;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CHEW;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AZRIL,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2019).</w:t>
      </w:r>
    </w:p>
    <w:p>
      <w:pPr>
        <w:autoSpaceDN w:val="0"/>
        <w:tabs>
          <w:tab w:pos="842" w:val="left"/>
        </w:tabs>
        <w:autoSpaceDE w:val="0"/>
        <w:widowControl/>
        <w:spacing w:line="344" w:lineRule="exact" w:before="478" w:after="0"/>
        <w:ind w:left="260" w:right="0" w:firstLine="0"/>
        <w:jc w:val="left"/>
      </w:pP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 xml:space="preserve">7 </w:t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Métodos</w:t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de</w:t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apoio</w:t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à</w:t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decisão</w:t>
      </w:r>
    </w:p>
    <w:p>
      <w:pPr>
        <w:autoSpaceDN w:val="0"/>
        <w:autoSpaceDE w:val="0"/>
        <w:widowControl/>
        <w:spacing w:line="288" w:lineRule="exact" w:before="214" w:after="0"/>
        <w:ind w:left="260" w:right="0" w:hanging="8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categoria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ampla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framework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atribuída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96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registros.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modelagem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informação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da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construção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(BIM,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inglês</w:t>
      </w:r>
      <w:r>
        <w:rPr>
          <w:rFonts w:ascii="LMRoman12" w:hAnsi="LMRoman12" w:eastAsia="LMRoman12"/>
          <w:b w:val="0"/>
          <w:i/>
          <w:color w:val="000000"/>
          <w:sz w:val="24"/>
        </w:rPr>
        <w:t>Building</w:t>
      </w:r>
      <w:r>
        <w:rPr>
          <w:rFonts w:ascii="LMRoman12" w:hAnsi="LMRoman12" w:eastAsia="LMRoman12"/>
          <w:b w:val="0"/>
          <w:i/>
          <w:color w:val="000000"/>
          <w:sz w:val="24"/>
        </w:rPr>
        <w:t>Information</w:t>
      </w:r>
      <w:r>
        <w:rPr>
          <w:rFonts w:ascii="LMRoman12" w:hAnsi="LMRoman12" w:eastAsia="LMRoman12"/>
          <w:b w:val="0"/>
          <w:i/>
          <w:color w:val="000000"/>
          <w:sz w:val="24"/>
        </w:rPr>
        <w:t>Modeling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/>
          <w:color w:val="000000"/>
          <w:sz w:val="24"/>
        </w:rPr>
        <w:t>decision</w:t>
      </w:r>
      <w:r>
        <w:rPr>
          <w:rFonts w:ascii="LMRoman12" w:hAnsi="LMRoman12" w:eastAsia="LMRoman12"/>
          <w:b w:val="0"/>
          <w:i/>
          <w:color w:val="000000"/>
          <w:sz w:val="24"/>
        </w:rPr>
        <w:t>support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aparecem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26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25,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seguidos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otimização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18,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pontuação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17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custo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ciclo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vida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13. 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Entre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os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métodos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nomeados,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AHP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ocorre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cinco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registros,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TOPSIS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quatro,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 xml:space="preserve">MCDM 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Delphi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três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cada,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ANP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dois,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w w:val="98.67567221323648"/>
          <w:rFonts w:ascii="LMRoman12" w:hAnsi="LMRoman12" w:eastAsia="LMRoman12"/>
          <w:b w:val="0"/>
          <w:i/>
          <w:color w:val="000000"/>
          <w:sz w:val="24"/>
        </w:rPr>
        <w:t>Bayesian</w:t>
      </w:r>
      <w:r>
        <w:rPr>
          <w:w w:val="98.67567221323648"/>
          <w:rFonts w:ascii="LMRoman12" w:hAnsi="LMRoman12" w:eastAsia="LMRoman12"/>
          <w:b w:val="0"/>
          <w:i/>
          <w:color w:val="000000"/>
          <w:sz w:val="24"/>
        </w:rPr>
        <w:t>Best-Worst</w:t>
      </w:r>
      <w:r>
        <w:rPr>
          <w:w w:val="98.67567221323648"/>
          <w:rFonts w:ascii="LMRoman12" w:hAnsi="LMRoman12" w:eastAsia="LMRoman12"/>
          <w:b w:val="0"/>
          <w:i/>
          <w:color w:val="000000"/>
          <w:sz w:val="24"/>
        </w:rPr>
        <w:t>Method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w w:val="98.67567221323648"/>
          <w:rFonts w:ascii="LMRoman12" w:hAnsi="LMRoman12" w:eastAsia="LMRoman12"/>
          <w:b w:val="0"/>
          <w:i/>
          <w:color w:val="000000"/>
          <w:sz w:val="24"/>
        </w:rPr>
        <w:t>balanced</w:t>
      </w:r>
      <w:r>
        <w:rPr>
          <w:w w:val="98.67567221323648"/>
          <w:rFonts w:ascii="LMRoman12" w:hAnsi="LMRoman12" w:eastAsia="LMRoman12"/>
          <w:b w:val="0"/>
          <w:i/>
          <w:color w:val="000000"/>
          <w:sz w:val="24"/>
        </w:rPr>
        <w:t>scorecard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 xml:space="preserve">e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raciocínio baseado em casos em um cada.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 categoria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 xml:space="preserve"> framework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reúne estruturas, modelos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referenciais;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equivale,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método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multicritério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aplicado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validado.</w:t>
      </w:r>
    </w:p>
    <w:p>
      <w:pPr>
        <w:autoSpaceDN w:val="0"/>
        <w:autoSpaceDE w:val="0"/>
        <w:widowControl/>
        <w:spacing w:line="240" w:lineRule="auto" w:before="274" w:after="0"/>
        <w:ind w:left="48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472430" cy="498475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72430" cy="498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18" w:lineRule="exact" w:before="220" w:after="0"/>
        <w:ind w:left="932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Gráfico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8.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Abordagens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métodos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apoio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à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decisão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identificados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no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núcleo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final</w:t>
      </w:r>
    </w:p>
    <w:p>
      <w:pPr>
        <w:autoSpaceDN w:val="0"/>
        <w:autoSpaceDE w:val="0"/>
        <w:widowControl/>
        <w:spacing w:line="288" w:lineRule="exact" w:before="318" w:after="0"/>
        <w:ind w:left="260" w:right="0" w:firstLine="352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BIM foi identificado em 26 registros (25,0%) e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 xml:space="preserve"> digital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twin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em oito (7,7%), presença que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indica trajetória tecnológica,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não maturidade das universidades públicas.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O protocolo deve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funcionar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planilhas,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cadastros,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inspeções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ordens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serviço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permitir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integração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progressiva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modelos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plataformas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digitais.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aplicações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núcleo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demonstram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funções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distintas: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difuso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avaliação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edifícios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educacionais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(ALFALAH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2022),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Delphi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modificado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gestão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campus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(NAJI;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GUNDUZ;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MAKI,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2023)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AHP,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TOPSIS</w:t>
      </w:r>
    </w:p>
    <w:p>
      <w:pPr>
        <w:autoSpaceDN w:val="0"/>
        <w:autoSpaceDE w:val="0"/>
        <w:widowControl/>
        <w:spacing w:line="238" w:lineRule="exact" w:before="454" w:after="0"/>
        <w:ind w:left="0" w:right="448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16</w:t>
      </w:r>
    </w:p>
    <w:p>
      <w:pPr>
        <w:sectPr>
          <w:pgSz w:w="11906" w:h="16838"/>
          <w:pgMar w:top="878" w:right="1068" w:bottom="24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238" w:lineRule="exact" w:before="0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otimização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alocação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prestadores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públicos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(MASMOUDI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2026).</w:t>
      </w:r>
    </w:p>
    <w:p>
      <w:pPr>
        <w:autoSpaceDN w:val="0"/>
        <w:autoSpaceDE w:val="0"/>
        <w:widowControl/>
        <w:spacing w:line="288" w:lineRule="exact" w:before="2" w:after="0"/>
        <w:ind w:left="260" w:right="0" w:firstLine="352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leituras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integrais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delimitam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maturidade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digital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variedade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analítica.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Deng,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Menassa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Kamat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(2021)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encontraram,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123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estudos,</w:t>
      </w:r>
      <w:r>
        <w:rPr>
          <w:rFonts w:ascii="LMRoman12" w:hAnsi="LMRoman12" w:eastAsia="LMRoman12"/>
          <w:b w:val="0"/>
          <w:i/>
          <w:color w:val="000000"/>
          <w:sz w:val="24"/>
        </w:rPr>
        <w:t>digital</w:t>
      </w:r>
      <w:r>
        <w:rPr>
          <w:rFonts w:ascii="LMRoman12" w:hAnsi="LMRoman12" w:eastAsia="LMRoman12"/>
          <w:b w:val="0"/>
          <w:i/>
          <w:color w:val="000000"/>
          <w:sz w:val="24"/>
        </w:rPr>
        <w:t>twin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controle,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otimização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retroalimentação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plenos;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Espinosa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Gispert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al.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(2025)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propõem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ontologia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ativos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manutenção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preditiva;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Goretti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Kaming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(2023)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situam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BIM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7D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operação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manutenção;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Ferreira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(2020)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estratégias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preventivas,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corretivas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combinadas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Petri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Carlo.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conjunto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percorre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integração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informa-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cional,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prevenção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simulação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componentes,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demonstra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adoção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institucional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generalizada.</w:t>
      </w:r>
    </w:p>
    <w:p>
      <w:pPr>
        <w:autoSpaceDN w:val="0"/>
        <w:autoSpaceDE w:val="0"/>
        <w:widowControl/>
        <w:spacing w:line="288" w:lineRule="exact" w:before="0" w:after="0"/>
        <w:ind w:left="254" w:right="0" w:firstLine="352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Outros três estudos distinguem níveis de estruturação decisória: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sistema conceitual Lean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ainda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empírica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(ALDAIRI;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KHAN;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MUNIVE-HERNANDEZ,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2017);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avaliação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sintética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fuzzy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estratégias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gestão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facilidades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(YOON;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CHA,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2018);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raciocínio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casos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Fuzzy-AHP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ponderar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atributos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prever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reparos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históricos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(PARK;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KWON;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AHN,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2019).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Assim,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menção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método,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aplicação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permanecem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categorias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diferentes.</w:t>
      </w:r>
    </w:p>
    <w:p>
      <w:pPr>
        <w:autoSpaceDN w:val="0"/>
        <w:tabs>
          <w:tab w:pos="842" w:val="left"/>
        </w:tabs>
        <w:autoSpaceDE w:val="0"/>
        <w:widowControl/>
        <w:spacing w:line="344" w:lineRule="exact" w:before="458" w:after="0"/>
        <w:ind w:left="260" w:right="0" w:firstLine="0"/>
        <w:jc w:val="left"/>
      </w:pP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 xml:space="preserve">8 </w:t>
      </w:r>
      <w:r>
        <w:rPr>
          <w:rFonts w:ascii="LMRoman12" w:hAnsi="LMRoman12" w:eastAsia="LMRoman12"/>
          <w:b/>
          <w:i w:val="0"/>
          <w:color w:val="000000"/>
          <w:sz w:val="34"/>
        </w:rPr>
        <w:t>Aplicabilidade</w:t>
      </w:r>
      <w:r>
        <w:rPr>
          <w:rFonts w:ascii="LMRoman12" w:hAnsi="LMRoman12" w:eastAsia="LMRoman12"/>
          <w:b/>
          <w:i w:val="0"/>
          <w:color w:val="000000"/>
          <w:sz w:val="34"/>
        </w:rPr>
        <w:t>a</w:t>
      </w:r>
      <w:r>
        <w:rPr>
          <w:rFonts w:ascii="LMRoman12" w:hAnsi="LMRoman12" w:eastAsia="LMRoman12"/>
          <w:b/>
          <w:i w:val="0"/>
          <w:color w:val="000000"/>
          <w:sz w:val="34"/>
        </w:rPr>
        <w:t>edificações</w:t>
      </w:r>
      <w:r>
        <w:rPr>
          <w:rFonts w:ascii="LMRoman12" w:hAnsi="LMRoman12" w:eastAsia="LMRoman12"/>
          <w:b/>
          <w:i w:val="0"/>
          <w:color w:val="000000"/>
          <w:sz w:val="34"/>
        </w:rPr>
        <w:t>públicas</w:t>
      </w:r>
      <w:r>
        <w:rPr>
          <w:rFonts w:ascii="LMRoman12" w:hAnsi="LMRoman12" w:eastAsia="LMRoman12"/>
          <w:b/>
          <w:i w:val="0"/>
          <w:color w:val="000000"/>
          <w:sz w:val="34"/>
        </w:rPr>
        <w:t>universitárias</w:t>
      </w:r>
    </w:p>
    <w:p>
      <w:pPr>
        <w:autoSpaceDN w:val="0"/>
        <w:autoSpaceDE w:val="0"/>
        <w:widowControl/>
        <w:spacing w:line="288" w:lineRule="exact" w:before="216" w:after="0"/>
        <w:ind w:left="260" w:right="52" w:hanging="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caracterização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identificou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93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edificação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genérica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58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sobre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portfólio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tipologias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específicas,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houve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hospitais,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15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edifícios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comerciais,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residenciais,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universidades,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dez</w:t>
      </w:r>
      <w:r>
        <w:rPr>
          <w:rFonts w:ascii="LMRoman12" w:hAnsi="LMRoman12" w:eastAsia="LMRoman12"/>
          <w:b w:val="0"/>
          <w:i/>
          <w:color w:val="000000"/>
          <w:sz w:val="24"/>
        </w:rPr>
        <w:t>campus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cinco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edifícios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públicos,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cinco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escolas,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quatro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patrimônios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históricos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museu.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categorias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são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respostas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múltiplas;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edificação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genérica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é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categoria-guarda-chuva,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tipologia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homogênea.</w:t>
      </w:r>
    </w:p>
    <w:p>
      <w:pPr>
        <w:autoSpaceDN w:val="0"/>
        <w:autoSpaceDE w:val="0"/>
        <w:widowControl/>
        <w:spacing w:line="218" w:lineRule="exact" w:before="220" w:after="232"/>
        <w:ind w:left="1822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Tabela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9.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Contextos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edificação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identificados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no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núcleo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final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3131"/>
        <w:gridCol w:w="3131"/>
        <w:gridCol w:w="3131"/>
      </w:tblGrid>
      <w:tr>
        <w:trPr>
          <w:trHeight w:hRule="exact" w:val="394"/>
        </w:trPr>
        <w:tc>
          <w:tcPr>
            <w:tcW w:type="dxa" w:w="4348"/>
            <w:tcBorders>
              <w:top w:sz="7.48799991607666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6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Contexto</w:t>
            </w:r>
          </w:p>
        </w:tc>
        <w:tc>
          <w:tcPr>
            <w:tcW w:type="dxa" w:w="3400"/>
            <w:tcBorders>
              <w:top w:sz="7.48799991607666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6" w:after="0"/>
              <w:ind w:left="0" w:right="21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Registros</w:t>
            </w:r>
          </w:p>
        </w:tc>
        <w:tc>
          <w:tcPr>
            <w:tcW w:type="dxa" w:w="1342"/>
            <w:tcBorders>
              <w:top w:sz="7.48799991607666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86" w:after="0"/>
              <w:ind w:left="24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%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104</w:t>
            </w:r>
          </w:p>
        </w:tc>
      </w:tr>
      <w:tr>
        <w:trPr>
          <w:trHeight w:hRule="exact" w:val="338"/>
        </w:trPr>
        <w:tc>
          <w:tcPr>
            <w:tcW w:type="dxa" w:w="4348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6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Edificação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genérica</w:t>
            </w:r>
          </w:p>
        </w:tc>
        <w:tc>
          <w:tcPr>
            <w:tcW w:type="dxa" w:w="3400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6" w:after="0"/>
              <w:ind w:left="0" w:right="21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93</w:t>
            </w:r>
          </w:p>
        </w:tc>
        <w:tc>
          <w:tcPr>
            <w:tcW w:type="dxa" w:w="1342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6" w:after="0"/>
              <w:ind w:left="0" w:right="12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89,4</w:t>
            </w:r>
          </w:p>
        </w:tc>
      </w:tr>
      <w:tr>
        <w:trPr>
          <w:trHeight w:hRule="exact" w:val="260"/>
        </w:trPr>
        <w:tc>
          <w:tcPr>
            <w:tcW w:type="dxa" w:w="43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6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Portfólio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predial</w:t>
            </w:r>
          </w:p>
        </w:tc>
        <w:tc>
          <w:tcPr>
            <w:tcW w:type="dxa" w:w="3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6" w:after="0"/>
              <w:ind w:left="0" w:right="21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58</w:t>
            </w:r>
          </w:p>
        </w:tc>
        <w:tc>
          <w:tcPr>
            <w:tcW w:type="dxa" w:w="13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6" w:after="0"/>
              <w:ind w:left="0" w:right="12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55,8</w:t>
            </w:r>
          </w:p>
        </w:tc>
      </w:tr>
      <w:tr>
        <w:trPr>
          <w:trHeight w:hRule="exact" w:val="280"/>
        </w:trPr>
        <w:tc>
          <w:tcPr>
            <w:tcW w:type="dxa" w:w="43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6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Hospital</w:t>
            </w:r>
          </w:p>
        </w:tc>
        <w:tc>
          <w:tcPr>
            <w:tcW w:type="dxa" w:w="3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6" w:after="0"/>
              <w:ind w:left="0" w:right="21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17</w:t>
            </w:r>
          </w:p>
        </w:tc>
        <w:tc>
          <w:tcPr>
            <w:tcW w:type="dxa" w:w="13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6" w:after="0"/>
              <w:ind w:left="0" w:right="13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16,3</w:t>
            </w:r>
          </w:p>
        </w:tc>
      </w:tr>
      <w:tr>
        <w:trPr>
          <w:trHeight w:hRule="exact" w:val="260"/>
        </w:trPr>
        <w:tc>
          <w:tcPr>
            <w:tcW w:type="dxa" w:w="43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8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Edifício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comercial</w:t>
            </w:r>
          </w:p>
        </w:tc>
        <w:tc>
          <w:tcPr>
            <w:tcW w:type="dxa" w:w="3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8" w:after="0"/>
              <w:ind w:left="0" w:right="21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15</w:t>
            </w:r>
          </w:p>
        </w:tc>
        <w:tc>
          <w:tcPr>
            <w:tcW w:type="dxa" w:w="13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8" w:after="0"/>
              <w:ind w:left="0" w:right="12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14,4</w:t>
            </w:r>
          </w:p>
        </w:tc>
      </w:tr>
      <w:tr>
        <w:trPr>
          <w:trHeight w:hRule="exact" w:val="280"/>
        </w:trPr>
        <w:tc>
          <w:tcPr>
            <w:tcW w:type="dxa" w:w="43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8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Edifício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residencial</w:t>
            </w:r>
          </w:p>
        </w:tc>
        <w:tc>
          <w:tcPr>
            <w:tcW w:type="dxa" w:w="3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8" w:after="0"/>
              <w:ind w:left="0" w:right="21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12</w:t>
            </w:r>
          </w:p>
        </w:tc>
        <w:tc>
          <w:tcPr>
            <w:tcW w:type="dxa" w:w="13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38" w:after="0"/>
              <w:ind w:left="0" w:right="12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11,5</w:t>
            </w:r>
          </w:p>
        </w:tc>
      </w:tr>
      <w:tr>
        <w:trPr>
          <w:trHeight w:hRule="exact" w:val="260"/>
        </w:trPr>
        <w:tc>
          <w:tcPr>
            <w:tcW w:type="dxa" w:w="43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0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Universidade</w:t>
            </w:r>
          </w:p>
        </w:tc>
        <w:tc>
          <w:tcPr>
            <w:tcW w:type="dxa" w:w="3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0" w:after="0"/>
              <w:ind w:left="0" w:right="21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11</w:t>
            </w:r>
          </w:p>
        </w:tc>
        <w:tc>
          <w:tcPr>
            <w:tcW w:type="dxa" w:w="13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0" w:after="0"/>
              <w:ind w:left="0" w:right="13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10,6</w:t>
            </w:r>
          </w:p>
        </w:tc>
      </w:tr>
      <w:tr>
        <w:trPr>
          <w:trHeight w:hRule="exact" w:val="280"/>
        </w:trPr>
        <w:tc>
          <w:tcPr>
            <w:tcW w:type="dxa" w:w="43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0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/>
                <w:color w:val="000000"/>
                <w:sz w:val="22"/>
              </w:rPr>
              <w:t>Campus</w:t>
            </w:r>
          </w:p>
        </w:tc>
        <w:tc>
          <w:tcPr>
            <w:tcW w:type="dxa" w:w="3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0" w:after="0"/>
              <w:ind w:left="0" w:right="21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10</w:t>
            </w:r>
          </w:p>
        </w:tc>
        <w:tc>
          <w:tcPr>
            <w:tcW w:type="dxa" w:w="13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0" w:after="0"/>
              <w:ind w:left="0" w:right="13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9,6</w:t>
            </w:r>
          </w:p>
        </w:tc>
      </w:tr>
      <w:tr>
        <w:trPr>
          <w:trHeight w:hRule="exact" w:val="260"/>
        </w:trPr>
        <w:tc>
          <w:tcPr>
            <w:tcW w:type="dxa" w:w="43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2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Edifício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público</w:t>
            </w:r>
          </w:p>
        </w:tc>
        <w:tc>
          <w:tcPr>
            <w:tcW w:type="dxa" w:w="3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2" w:after="0"/>
              <w:ind w:left="0" w:right="21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5</w:t>
            </w:r>
          </w:p>
        </w:tc>
        <w:tc>
          <w:tcPr>
            <w:tcW w:type="dxa" w:w="13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2" w:after="0"/>
              <w:ind w:left="0" w:right="12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4,8</w:t>
            </w:r>
          </w:p>
        </w:tc>
      </w:tr>
      <w:tr>
        <w:trPr>
          <w:trHeight w:hRule="exact" w:val="280"/>
        </w:trPr>
        <w:tc>
          <w:tcPr>
            <w:tcW w:type="dxa" w:w="43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Escola</w:t>
            </w:r>
          </w:p>
        </w:tc>
        <w:tc>
          <w:tcPr>
            <w:tcW w:type="dxa" w:w="3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0" w:right="21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5</w:t>
            </w:r>
          </w:p>
        </w:tc>
        <w:tc>
          <w:tcPr>
            <w:tcW w:type="dxa" w:w="13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2" w:after="0"/>
              <w:ind w:left="0" w:right="13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4,8</w:t>
            </w:r>
          </w:p>
        </w:tc>
      </w:tr>
      <w:tr>
        <w:trPr>
          <w:trHeight w:hRule="exact" w:val="260"/>
        </w:trPr>
        <w:tc>
          <w:tcPr>
            <w:tcW w:type="dxa" w:w="43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4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Patrimônio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histórico</w:t>
            </w:r>
          </w:p>
        </w:tc>
        <w:tc>
          <w:tcPr>
            <w:tcW w:type="dxa" w:w="3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4" w:after="0"/>
              <w:ind w:left="0" w:right="21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4</w:t>
            </w:r>
          </w:p>
        </w:tc>
        <w:tc>
          <w:tcPr>
            <w:tcW w:type="dxa" w:w="13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34" w:after="0"/>
              <w:ind w:left="0" w:right="13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3,8</w:t>
            </w:r>
          </w:p>
        </w:tc>
      </w:tr>
      <w:tr>
        <w:trPr>
          <w:trHeight w:hRule="exact" w:val="346"/>
        </w:trPr>
        <w:tc>
          <w:tcPr>
            <w:tcW w:type="dxa" w:w="4348"/>
            <w:tcBorders>
              <w:bottom w:sz="7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4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Museu</w:t>
            </w:r>
          </w:p>
        </w:tc>
        <w:tc>
          <w:tcPr>
            <w:tcW w:type="dxa" w:w="3400"/>
            <w:tcBorders>
              <w:bottom w:sz="7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4" w:after="0"/>
              <w:ind w:left="0" w:right="21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1342"/>
            <w:tcBorders>
              <w:bottom w:sz="7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4" w:after="0"/>
              <w:ind w:left="0" w:right="13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1,0</w:t>
            </w:r>
          </w:p>
        </w:tc>
      </w:tr>
    </w:tbl>
    <w:p>
      <w:pPr>
        <w:autoSpaceDN w:val="0"/>
        <w:autoSpaceDE w:val="0"/>
        <w:widowControl/>
        <w:spacing w:line="198" w:lineRule="exact" w:before="62" w:after="0"/>
        <w:ind w:left="0" w:right="3330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Fonte: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elaborado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pelo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autor.</w:t>
      </w:r>
    </w:p>
    <w:p>
      <w:pPr>
        <w:autoSpaceDN w:val="0"/>
        <w:tabs>
          <w:tab w:pos="254" w:val="left"/>
          <w:tab w:pos="260" w:val="left"/>
          <w:tab w:pos="612" w:val="left"/>
        </w:tabs>
        <w:autoSpaceDE w:val="0"/>
        <w:widowControl/>
        <w:spacing w:line="288" w:lineRule="exact" w:before="210" w:after="0"/>
        <w:ind w:left="234" w:right="0" w:firstLine="0"/>
        <w:jc w:val="left"/>
      </w:pP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instituições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ensino,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gestão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sustentável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combina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desempenho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físico,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usuários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capacidade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administrativa.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literatura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identifica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fatores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críticos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universidades 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(AWUZIE;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ISA,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2017),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critérios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ambientais,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econômicos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sociais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edifícios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educacionais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(ALFALAH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2022),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indicadores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operacionais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/>
          <w:color w:val="000000"/>
          <w:sz w:val="24"/>
        </w:rPr>
        <w:t>campus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(NAJI;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GUNDUZ;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MAKI,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2023),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previsão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orçamentária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ordens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serviço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(MARTINS;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ESPEJO,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2024;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MORAIS;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PAULA;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REIS,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2023).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produto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deve,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portanto,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dos 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dados,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ausências,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unidade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comparada,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vetos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histórico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pesos,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usando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entradas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 xml:space="preserve">simples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exportáveis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prestação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contas.</w:t>
      </w:r>
    </w:p>
    <w:p>
      <w:pPr>
        <w:autoSpaceDN w:val="0"/>
        <w:autoSpaceDE w:val="0"/>
        <w:widowControl/>
        <w:spacing w:line="238" w:lineRule="exact" w:before="360" w:after="0"/>
        <w:ind w:left="0" w:right="4478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17</w:t>
      </w:r>
    </w:p>
    <w:p>
      <w:pPr>
        <w:sectPr>
          <w:pgSz w:w="11906" w:h="16838"/>
          <w:pgMar w:top="876" w:right="1074" w:bottom="24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6"/>
        <w:ind w:left="0" w:right="0"/>
      </w:pPr>
    </w:p>
    <w:p>
      <w:pPr>
        <w:autoSpaceDN w:val="0"/>
        <w:autoSpaceDE w:val="0"/>
        <w:widowControl/>
        <w:spacing w:line="284" w:lineRule="exact" w:before="0" w:after="0"/>
        <w:ind w:left="260" w:right="0" w:firstLine="352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baixa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frequência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universidade,</w:t>
      </w:r>
      <w:r>
        <w:rPr>
          <w:rFonts w:ascii="LMRoman12" w:hAnsi="LMRoman12" w:eastAsia="LMRoman12"/>
          <w:b w:val="0"/>
          <w:i/>
          <w:color w:val="000000"/>
          <w:sz w:val="24"/>
        </w:rPr>
        <w:t>campus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edifício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público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confirma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lacuna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portfólios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heterogêneos,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restrições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orçamentárias,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continuidade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acadêmica e múltiplos usuários.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Em texto completo, a manutenção sustentável foi associada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resiliência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institucional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(NDUKUBA,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2025);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instrumento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estrangeiro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exigiu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adaptação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concordância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profissional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hospital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público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(TALIB;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RAJAGOPALAN;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YANG,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2013);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três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mostraram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informação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na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transição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entre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construção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operação,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enfrentada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pela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integração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BIM,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Soft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Landings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comunicação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(TAN;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ZAMAN;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SUTRISNA,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2018).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achados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sustentam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governança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informação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contextual,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equivaler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protocolo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proposto.</w:t>
      </w:r>
    </w:p>
    <w:p>
      <w:pPr>
        <w:autoSpaceDN w:val="0"/>
        <w:tabs>
          <w:tab w:pos="842" w:val="left"/>
        </w:tabs>
        <w:autoSpaceDE w:val="0"/>
        <w:widowControl/>
        <w:spacing w:line="346" w:lineRule="exact" w:before="470" w:after="0"/>
        <w:ind w:left="260" w:right="0" w:firstLine="0"/>
        <w:jc w:val="left"/>
      </w:pP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 xml:space="preserve">9 </w:t>
      </w:r>
      <w:r>
        <w:rPr>
          <w:w w:val="98.66839817592076"/>
          <w:rFonts w:ascii="LMRoman12" w:hAnsi="LMRoman12" w:eastAsia="LMRoman12"/>
          <w:b/>
          <w:i w:val="0"/>
          <w:color w:val="000000"/>
          <w:sz w:val="35"/>
        </w:rPr>
        <w:t>Matriz</w:t>
      </w:r>
      <w:r>
        <w:rPr>
          <w:w w:val="98.66839817592076"/>
          <w:rFonts w:ascii="LMRoman12" w:hAnsi="LMRoman12" w:eastAsia="LMRoman12"/>
          <w:b/>
          <w:i w:val="0"/>
          <w:color w:val="000000"/>
          <w:sz w:val="35"/>
        </w:rPr>
        <w:t>analítica</w:t>
      </w:r>
      <w:r>
        <w:rPr>
          <w:w w:val="98.66839817592076"/>
          <w:rFonts w:ascii="LMRoman12" w:hAnsi="LMRoman12" w:eastAsia="LMRoman12"/>
          <w:b/>
          <w:i w:val="0"/>
          <w:color w:val="000000"/>
          <w:sz w:val="35"/>
        </w:rPr>
        <w:t>conceitual</w:t>
      </w:r>
      <w:r>
        <w:rPr>
          <w:w w:val="98.66839817592076"/>
          <w:rFonts w:ascii="LMRoman12" w:hAnsi="LMRoman12" w:eastAsia="LMRoman12"/>
          <w:b/>
          <w:i w:val="0"/>
          <w:color w:val="000000"/>
          <w:sz w:val="35"/>
        </w:rPr>
        <w:t>informada</w:t>
      </w:r>
      <w:r>
        <w:rPr>
          <w:w w:val="98.66839817592076"/>
          <w:rFonts w:ascii="LMRoman12" w:hAnsi="LMRoman12" w:eastAsia="LMRoman12"/>
          <w:b/>
          <w:i w:val="0"/>
          <w:color w:val="000000"/>
          <w:sz w:val="35"/>
        </w:rPr>
        <w:t>pela</w:t>
      </w:r>
      <w:r>
        <w:rPr>
          <w:w w:val="98.66839817592076"/>
          <w:rFonts w:ascii="LMRoman12" w:hAnsi="LMRoman12" w:eastAsia="LMRoman12"/>
          <w:b/>
          <w:i w:val="0"/>
          <w:color w:val="000000"/>
          <w:sz w:val="35"/>
        </w:rPr>
        <w:t>síntese</w:t>
      </w:r>
    </w:p>
    <w:p>
      <w:pPr>
        <w:autoSpaceDN w:val="0"/>
        <w:autoSpaceDE w:val="0"/>
        <w:widowControl/>
        <w:spacing w:line="344" w:lineRule="exact" w:before="94" w:after="0"/>
        <w:ind w:left="842" w:right="0" w:firstLine="0"/>
        <w:jc w:val="left"/>
      </w:pP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da</w:t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literatura</w:t>
      </w:r>
    </w:p>
    <w:p>
      <w:pPr>
        <w:autoSpaceDN w:val="0"/>
        <w:autoSpaceDE w:val="0"/>
        <w:widowControl/>
        <w:spacing w:line="290" w:lineRule="exact" w:before="212" w:after="0"/>
        <w:ind w:left="260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O Gráfico 9 apresenta a coocorrência documental entre os dez critérios e os dez instrumentos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apoio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decisão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frequentes.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Desempenho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operacional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/>
          <w:color w:val="00000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aparecem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conjuntamente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88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registros;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informação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têm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71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coocorrências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</w:t>
      </w:r>
      <w:r>
        <w:rPr>
          <w:rFonts w:ascii="LMRoman12" w:hAnsi="LMRoman12" w:eastAsia="LMRoman12"/>
          <w:b w:val="0"/>
          <w:i/>
          <w:color w:val="000000"/>
          <w:sz w:val="24"/>
        </w:rPr>
        <w:t xml:space="preserve">framework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26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BIM;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custo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/>
          <w:color w:val="00000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aparecem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56;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útil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custo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ciclo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vida,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13.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Essas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relações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codificação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simultânea,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comprovar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operacionalização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conjunta,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associação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estatística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causalidade.</w:t>
      </w:r>
    </w:p>
    <w:p>
      <w:pPr>
        <w:autoSpaceDN w:val="0"/>
        <w:autoSpaceDE w:val="0"/>
        <w:widowControl/>
        <w:spacing w:line="240" w:lineRule="auto" w:before="256" w:after="0"/>
        <w:ind w:left="35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645150" cy="387096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645150" cy="387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18" w:lineRule="exact" w:before="220" w:after="0"/>
        <w:ind w:left="612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Gráfico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9.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Coocorrência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entre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critérios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priorização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instrumentos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apoio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à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decisão</w:t>
      </w:r>
    </w:p>
    <w:p>
      <w:pPr>
        <w:autoSpaceDN w:val="0"/>
        <w:autoSpaceDE w:val="0"/>
        <w:widowControl/>
        <w:spacing w:line="288" w:lineRule="exact" w:before="304" w:after="0"/>
        <w:ind w:left="260" w:right="52" w:firstLine="35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Gráfico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reorganiza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coocorrências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cinco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dimensões.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técnica-operacional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apresenta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95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coocorrências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</w:t>
      </w:r>
      <w:r>
        <w:rPr>
          <w:rFonts w:ascii="LMRoman12" w:hAnsi="LMRoman12" w:eastAsia="LMRoman12"/>
          <w:b w:val="0"/>
          <w:i/>
          <w:color w:val="00000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</w:t>
      </w:r>
      <w:r>
        <w:rPr>
          <w:rFonts w:ascii="LMRoman12" w:hAnsi="LMRoman12" w:eastAsia="LMRoman12"/>
          <w:b w:val="0"/>
          <w:i/>
          <w:color w:val="000000"/>
          <w:sz w:val="24"/>
        </w:rPr>
        <w:t>decision</w:t>
      </w:r>
      <w:r>
        <w:rPr>
          <w:rFonts w:ascii="LMRoman12" w:hAnsi="LMRoman12" w:eastAsia="LMRoman12"/>
          <w:b w:val="0"/>
          <w:i/>
          <w:color w:val="000000"/>
          <w:sz w:val="24"/>
        </w:rPr>
        <w:t>support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26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BIM;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institucional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85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com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framework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seguida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ambiental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77,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econômica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55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e 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da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social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com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53.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dimensão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ciclo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vida,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identificada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60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registros,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não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forma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grupo</w:t>
      </w:r>
    </w:p>
    <w:p>
      <w:pPr>
        <w:autoSpaceDN w:val="0"/>
        <w:autoSpaceDE w:val="0"/>
        <w:widowControl/>
        <w:spacing w:line="238" w:lineRule="exact" w:before="360" w:after="0"/>
        <w:ind w:left="0" w:right="4472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18</w:t>
      </w:r>
    </w:p>
    <w:p>
      <w:pPr>
        <w:sectPr>
          <w:pgSz w:w="11906" w:h="16838"/>
          <w:pgMar w:top="876" w:right="1080" w:bottom="24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262" w:lineRule="exact" w:before="0" w:after="0"/>
        <w:ind w:left="260" w:right="0" w:firstLine="0"/>
        <w:jc w:val="left"/>
      </w:pP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independente: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ela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funciona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eixo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transversal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entre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desempenho,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custos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impactos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no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tempo.</w:t>
      </w:r>
    </w:p>
    <w:p>
      <w:pPr>
        <w:autoSpaceDN w:val="0"/>
        <w:autoSpaceDE w:val="0"/>
        <w:widowControl/>
        <w:spacing w:line="240" w:lineRule="auto" w:before="272" w:after="0"/>
        <w:ind w:left="35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645150" cy="301117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645150" cy="3011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16" w:lineRule="exact" w:before="220" w:after="0"/>
        <w:ind w:left="262" w:right="0" w:firstLine="0"/>
        <w:jc w:val="left"/>
      </w:pPr>
      <w:r>
        <w:rPr>
          <w:w w:val="98.52689396251331"/>
          <w:rFonts w:ascii="LMRoman10" w:hAnsi="LMRoman10" w:eastAsia="LMRoman10"/>
          <w:b w:val="0"/>
          <w:i w:val="0"/>
          <w:color w:val="000000"/>
          <w:sz w:val="22"/>
        </w:rPr>
        <w:t>Gráfico</w:t>
      </w:r>
      <w:r>
        <w:rPr>
          <w:w w:val="98.52689396251331"/>
          <w:rFonts w:ascii="LMRoman10" w:hAnsi="LMRoman10" w:eastAsia="LMRoman10"/>
          <w:b w:val="0"/>
          <w:i w:val="0"/>
          <w:color w:val="000000"/>
          <w:sz w:val="22"/>
        </w:rPr>
        <w:t>10.</w:t>
      </w:r>
      <w:r>
        <w:rPr>
          <w:w w:val="98.52689396251331"/>
          <w:rFonts w:ascii="LMRoman10" w:hAnsi="LMRoman10" w:eastAsia="LMRoman10"/>
          <w:b w:val="0"/>
          <w:i w:val="0"/>
          <w:color w:val="000000"/>
          <w:sz w:val="22"/>
        </w:rPr>
        <w:t>Matriz</w:t>
      </w:r>
      <w:r>
        <w:rPr>
          <w:w w:val="98.52689396251331"/>
          <w:rFonts w:ascii="LMRoman10" w:hAnsi="LMRoman10" w:eastAsia="LMRoman10"/>
          <w:b w:val="0"/>
          <w:i w:val="0"/>
          <w:color w:val="000000"/>
          <w:sz w:val="22"/>
        </w:rPr>
        <w:t>de</w:t>
      </w:r>
      <w:r>
        <w:rPr>
          <w:w w:val="98.52689396251331"/>
          <w:rFonts w:ascii="LMRoman10" w:hAnsi="LMRoman10" w:eastAsia="LMRoman10"/>
          <w:b w:val="0"/>
          <w:i w:val="0"/>
          <w:color w:val="000000"/>
          <w:sz w:val="22"/>
        </w:rPr>
        <w:t>coocorrência</w:t>
      </w:r>
      <w:r>
        <w:rPr>
          <w:w w:val="98.52689396251331"/>
          <w:rFonts w:ascii="LMRoman10" w:hAnsi="LMRoman10" w:eastAsia="LMRoman10"/>
          <w:b w:val="0"/>
          <w:i w:val="0"/>
          <w:color w:val="000000"/>
          <w:sz w:val="22"/>
        </w:rPr>
        <w:t>entre</w:t>
      </w:r>
      <w:r>
        <w:rPr>
          <w:w w:val="98.52689396251331"/>
          <w:rFonts w:ascii="LMRoman10" w:hAnsi="LMRoman10" w:eastAsia="LMRoman10"/>
          <w:b w:val="0"/>
          <w:i w:val="0"/>
          <w:color w:val="000000"/>
          <w:sz w:val="22"/>
        </w:rPr>
        <w:t>dimensões</w:t>
      </w:r>
      <w:r>
        <w:rPr>
          <w:w w:val="98.52689396251331"/>
          <w:rFonts w:ascii="LMRoman10" w:hAnsi="LMRoman10" w:eastAsia="LMRoman10"/>
          <w:b w:val="0"/>
          <w:i w:val="0"/>
          <w:color w:val="000000"/>
          <w:sz w:val="22"/>
        </w:rPr>
        <w:t>de</w:t>
      </w:r>
      <w:r>
        <w:rPr>
          <w:w w:val="98.52689396251331"/>
          <w:rFonts w:ascii="LMRoman10" w:hAnsi="LMRoman10" w:eastAsia="LMRoman10"/>
          <w:b w:val="0"/>
          <w:i w:val="0"/>
          <w:color w:val="000000"/>
          <w:sz w:val="22"/>
        </w:rPr>
        <w:t>sustentabilidade</w:t>
      </w:r>
      <w:r>
        <w:rPr>
          <w:w w:val="98.52689396251331"/>
          <w:rFonts w:ascii="LMRoman10" w:hAnsi="LMRoman10" w:eastAsia="LMRoman10"/>
          <w:b w:val="0"/>
          <w:i w:val="0"/>
          <w:color w:val="000000"/>
          <w:sz w:val="22"/>
        </w:rPr>
        <w:t>e</w:t>
      </w:r>
      <w:r>
        <w:rPr>
          <w:w w:val="98.52689396251331"/>
          <w:rFonts w:ascii="LMRoman10" w:hAnsi="LMRoman10" w:eastAsia="LMRoman10"/>
          <w:b w:val="0"/>
          <w:i w:val="0"/>
          <w:color w:val="000000"/>
          <w:sz w:val="22"/>
        </w:rPr>
        <w:t>instrumentos</w:t>
      </w:r>
      <w:r>
        <w:rPr>
          <w:w w:val="98.52689396251331"/>
          <w:rFonts w:ascii="LMRoman10" w:hAnsi="LMRoman10" w:eastAsia="LMRoman10"/>
          <w:b w:val="0"/>
          <w:i w:val="0"/>
          <w:color w:val="000000"/>
          <w:sz w:val="22"/>
        </w:rPr>
        <w:t>de</w:t>
      </w:r>
      <w:r>
        <w:rPr>
          <w:w w:val="98.52689396251331"/>
          <w:rFonts w:ascii="LMRoman10" w:hAnsi="LMRoman10" w:eastAsia="LMRoman10"/>
          <w:b w:val="0"/>
          <w:i w:val="0"/>
          <w:color w:val="000000"/>
          <w:sz w:val="22"/>
        </w:rPr>
        <w:t>apoio</w:t>
      </w:r>
    </w:p>
    <w:p>
      <w:pPr>
        <w:autoSpaceDN w:val="0"/>
        <w:autoSpaceDE w:val="0"/>
        <w:widowControl/>
        <w:spacing w:line="218" w:lineRule="exact" w:before="54" w:after="0"/>
        <w:ind w:left="0" w:right="4158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à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decisão</w:t>
      </w:r>
    </w:p>
    <w:p>
      <w:pPr>
        <w:autoSpaceDN w:val="0"/>
        <w:autoSpaceDE w:val="0"/>
        <w:widowControl/>
        <w:spacing w:line="288" w:lineRule="exact" w:before="320" w:after="0"/>
        <w:ind w:left="260" w:right="0" w:firstLine="352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matriz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distingue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evidência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extraída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especificação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proposta.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Energia,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emissões,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água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resíduos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associados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dimensão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ambiental;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custo,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econômica;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segurança,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conforto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satisfação,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social;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desempenho,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informação,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útil,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risco,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condição,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manutenibilidade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qualidade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serviço,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técnica-operacional.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dimensão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institucional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identificada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92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conformidade,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governança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capacidade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execução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desdobramentos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candidatos,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frequências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individualizadas.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frequências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não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constituem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pesos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matriz.</w:t>
      </w:r>
    </w:p>
    <w:p>
      <w:pPr>
        <w:autoSpaceDN w:val="0"/>
        <w:autoSpaceDE w:val="0"/>
        <w:widowControl/>
        <w:spacing w:line="236" w:lineRule="exact" w:before="52" w:after="0"/>
        <w:ind w:left="612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 Tabela 10 explicita por que cada indicador candidato entrou no protocolo, combinando</w:t>
      </w:r>
    </w:p>
    <w:p>
      <w:pPr>
        <w:autoSpaceDN w:val="0"/>
        <w:autoSpaceDE w:val="0"/>
        <w:widowControl/>
        <w:spacing w:line="288" w:lineRule="exact" w:before="2" w:after="0"/>
        <w:ind w:left="260" w:right="54" w:firstLine="0"/>
        <w:jc w:val="both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recorrência no núcleo temático, conexões bibliométricas e evidências específicas dos estudos 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lidos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integralmente.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Tabela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11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detalha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especificação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operacional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correspondente,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 xml:space="preserve">com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indicador,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dados,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periodicidade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preferência.</w:t>
      </w:r>
    </w:p>
    <w:p>
      <w:pPr>
        <w:autoSpaceDN w:val="0"/>
        <w:autoSpaceDE w:val="0"/>
        <w:widowControl/>
        <w:spacing w:line="218" w:lineRule="exact" w:before="292" w:after="232"/>
        <w:ind w:left="1406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Tabela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10.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Rastreabilidade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entre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evidências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especificação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operacional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4693"/>
        <w:gridCol w:w="4693"/>
      </w:tblGrid>
      <w:tr>
        <w:trPr>
          <w:trHeight w:hRule="exact" w:val="312"/>
        </w:trPr>
        <w:tc>
          <w:tcPr>
            <w:tcW w:type="dxa" w:w="2628"/>
            <w:tcBorders>
              <w:top w:sz="7.48799991607666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74" w:after="0"/>
              <w:ind w:left="128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Dimensão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critério</w:t>
            </w:r>
          </w:p>
        </w:tc>
        <w:tc>
          <w:tcPr>
            <w:tcW w:type="dxa" w:w="6462"/>
            <w:tcBorders>
              <w:top w:sz="7.48799991607666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74" w:after="0"/>
              <w:ind w:left="12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Evidência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da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revisão</w:t>
            </w:r>
          </w:p>
        </w:tc>
      </w:tr>
      <w:tr>
        <w:trPr>
          <w:trHeight w:hRule="exact" w:val="1392"/>
        </w:trPr>
        <w:tc>
          <w:tcPr>
            <w:tcW w:type="dxa" w:w="2628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0" w:lineRule="exact" w:before="46" w:after="0"/>
              <w:ind w:left="124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Técnica-operacional: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desempe-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nho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 xml:space="preserve">falha </w:t>
            </w:r>
            <w:r>
              <w:br/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Técnica-operacional: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informa-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ção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 xml:space="preserve">dados </w:t>
            </w:r>
            <w:r>
              <w:br/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Técnica-operacional: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condição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 xml:space="preserve">e 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vida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 xml:space="preserve">útil </w:t>
            </w:r>
            <w:r>
              <w:br/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Institucional: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conformidade</w:t>
            </w:r>
          </w:p>
        </w:tc>
        <w:tc>
          <w:tcPr>
            <w:tcW w:type="dxa" w:w="6462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8" w:lineRule="exact" w:before="48" w:after="0"/>
              <w:ind w:left="120" w:right="144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Desempenho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em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93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registros;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gestão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facilidades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conectada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a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operação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manu-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tenção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na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rede.</w:t>
            </w:r>
          </w:p>
          <w:p>
            <w:pPr>
              <w:autoSpaceDN w:val="0"/>
              <w:autoSpaceDE w:val="0"/>
              <w:widowControl/>
              <w:spacing w:line="188" w:lineRule="exact" w:before="2" w:after="0"/>
              <w:ind w:left="120" w:right="144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Informação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em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76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registros;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BIM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em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26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</w:t>
            </w:r>
            <w:r>
              <w:rPr>
                <w:rFonts w:ascii="LMRoman8" w:hAnsi="LMRoman8" w:eastAsia="LMRoman8"/>
                <w:b w:val="0"/>
                <w:i/>
                <w:color w:val="000000"/>
                <w:sz w:val="16"/>
              </w:rPr>
              <w:t>digital</w:t>
            </w:r>
            <w:r>
              <w:rPr>
                <w:rFonts w:ascii="LMRoman8" w:hAnsi="LMRoman8" w:eastAsia="LMRoman8"/>
                <w:b w:val="0"/>
                <w:i/>
                <w:color w:val="000000"/>
                <w:sz w:val="16"/>
              </w:rPr>
              <w:t>twin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em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oito;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perdas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informa-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ção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observadas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por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Tan,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Zaman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Sutrisna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(2018).</w:t>
            </w:r>
          </w:p>
          <w:p>
            <w:pPr>
              <w:autoSpaceDN w:val="0"/>
              <w:autoSpaceDE w:val="0"/>
              <w:widowControl/>
              <w:spacing w:line="190" w:lineRule="exact" w:before="0" w:after="0"/>
              <w:ind w:left="120" w:right="144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Condição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em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27,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vida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útil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em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40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ciclo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vida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em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60;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manutenibilidade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 xml:space="preserve">apoiada 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por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Othman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Kamal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(2023).</w:t>
            </w:r>
          </w:p>
          <w:p>
            <w:pPr>
              <w:autoSpaceDN w:val="0"/>
              <w:autoSpaceDE w:val="0"/>
              <w:widowControl/>
              <w:spacing w:line="162" w:lineRule="exact" w:before="28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Dimensão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institucional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em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92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registros;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adaptação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contextual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necessária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em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Talib,</w:t>
            </w:r>
          </w:p>
        </w:tc>
      </w:tr>
    </w:tbl>
    <w:p>
      <w:pPr>
        <w:autoSpaceDN w:val="0"/>
        <w:autoSpaceDE w:val="0"/>
        <w:widowControl/>
        <w:spacing w:line="160" w:lineRule="exact" w:before="4" w:after="0"/>
        <w:ind w:left="0" w:right="4324" w:firstLine="0"/>
        <w:jc w:val="right"/>
      </w:pPr>
      <w:r>
        <w:rPr>
          <w:rFonts w:ascii="LMRoman8" w:hAnsi="LMRoman8" w:eastAsia="LMRoman8"/>
          <w:b w:val="0"/>
          <w:i w:val="0"/>
          <w:color w:val="000000"/>
          <w:sz w:val="16"/>
        </w:rPr>
        <w:t>Rajagopalan</w:t>
      </w:r>
      <w:r>
        <w:rPr>
          <w:rFonts w:ascii="LMRoman8" w:hAnsi="LMRoman8" w:eastAsia="LMRoman8"/>
          <w:b w:val="0"/>
          <w:i w:val="0"/>
          <w:color w:val="000000"/>
          <w:sz w:val="16"/>
        </w:rPr>
        <w:t>e</w:t>
      </w:r>
      <w:r>
        <w:rPr>
          <w:rFonts w:ascii="LMRoman8" w:hAnsi="LMRoman8" w:eastAsia="LMRoman8"/>
          <w:b w:val="0"/>
          <w:i w:val="0"/>
          <w:color w:val="000000"/>
          <w:sz w:val="16"/>
        </w:rPr>
        <w:t>Yang</w:t>
      </w:r>
      <w:r>
        <w:rPr>
          <w:rFonts w:ascii="LMRoman8" w:hAnsi="LMRoman8" w:eastAsia="LMRoman8"/>
          <w:b w:val="0"/>
          <w:i w:val="0"/>
          <w:color w:val="000000"/>
          <w:sz w:val="16"/>
        </w:rPr>
        <w:t>(2013).</w:t>
      </w:r>
    </w:p>
    <w:p>
      <w:pPr>
        <w:autoSpaceDN w:val="0"/>
        <w:tabs>
          <w:tab w:pos="2980" w:val="left"/>
          <w:tab w:pos="3000" w:val="left"/>
        </w:tabs>
        <w:autoSpaceDE w:val="0"/>
        <w:widowControl/>
        <w:spacing w:line="188" w:lineRule="exact" w:before="0" w:after="0"/>
        <w:ind w:left="380" w:right="144" w:firstLine="0"/>
        <w:jc w:val="left"/>
      </w:pPr>
      <w:r>
        <w:rPr>
          <w:rFonts w:ascii="LMRoman8" w:hAnsi="LMRoman8" w:eastAsia="LMRoman8"/>
          <w:b w:val="0"/>
          <w:i w:val="0"/>
          <w:color w:val="000000"/>
          <w:sz w:val="16"/>
        </w:rPr>
        <w:t>Econômica:</w:t>
      </w:r>
      <w:r>
        <w:rPr>
          <w:rFonts w:ascii="LMRoman8" w:hAnsi="LMRoman8" w:eastAsia="LMRoman8"/>
          <w:b w:val="0"/>
          <w:i w:val="0"/>
          <w:color w:val="000000"/>
          <w:sz w:val="16"/>
        </w:rPr>
        <w:t xml:space="preserve">custo </w:t>
      </w:r>
      <w:r>
        <w:tab/>
      </w:r>
      <w:r>
        <w:tab/>
      </w:r>
      <w:r>
        <w:rPr>
          <w:rFonts w:ascii="LMRoman8" w:hAnsi="LMRoman8" w:eastAsia="LMRoman8"/>
          <w:b w:val="0"/>
          <w:i w:val="0"/>
          <w:color w:val="000000"/>
          <w:sz w:val="16"/>
        </w:rPr>
        <w:t>Custo</w:t>
      </w:r>
      <w:r>
        <w:rPr>
          <w:rFonts w:ascii="LMRoman8" w:hAnsi="LMRoman8" w:eastAsia="LMRoman8"/>
          <w:b w:val="0"/>
          <w:i w:val="0"/>
          <w:color w:val="000000"/>
          <w:sz w:val="16"/>
        </w:rPr>
        <w:t>em</w:t>
      </w:r>
      <w:r>
        <w:rPr>
          <w:rFonts w:ascii="LMRoman8" w:hAnsi="LMRoman8" w:eastAsia="LMRoman8"/>
          <w:b w:val="0"/>
          <w:i w:val="0"/>
          <w:color w:val="000000"/>
          <w:sz w:val="16"/>
        </w:rPr>
        <w:t>60</w:t>
      </w:r>
      <w:r>
        <w:rPr>
          <w:rFonts w:ascii="LMRoman8" w:hAnsi="LMRoman8" w:eastAsia="LMRoman8"/>
          <w:b w:val="0"/>
          <w:i w:val="0"/>
          <w:color w:val="000000"/>
          <w:sz w:val="16"/>
        </w:rPr>
        <w:t>registros;</w:t>
      </w:r>
      <w:r>
        <w:rPr>
          <w:rFonts w:ascii="LMRoman8" w:hAnsi="LMRoman8" w:eastAsia="LMRoman8"/>
          <w:b w:val="0"/>
          <w:i w:val="0"/>
          <w:color w:val="000000"/>
          <w:sz w:val="16"/>
        </w:rPr>
        <w:t>previsão</w:t>
      </w:r>
      <w:r>
        <w:rPr>
          <w:rFonts w:ascii="LMRoman8" w:hAnsi="LMRoman8" w:eastAsia="LMRoman8"/>
          <w:b w:val="0"/>
          <w:i w:val="0"/>
          <w:color w:val="000000"/>
          <w:sz w:val="16"/>
        </w:rPr>
        <w:t>e</w:t>
      </w:r>
      <w:r>
        <w:rPr>
          <w:rFonts w:ascii="LMRoman8" w:hAnsi="LMRoman8" w:eastAsia="LMRoman8"/>
          <w:b w:val="0"/>
          <w:i w:val="0"/>
          <w:color w:val="000000"/>
          <w:sz w:val="16"/>
        </w:rPr>
        <w:t>ciclo</w:t>
      </w:r>
      <w:r>
        <w:rPr>
          <w:rFonts w:ascii="LMRoman8" w:hAnsi="LMRoman8" w:eastAsia="LMRoman8"/>
          <w:b w:val="0"/>
          <w:i w:val="0"/>
          <w:color w:val="000000"/>
          <w:sz w:val="16"/>
        </w:rPr>
        <w:t>de</w:t>
      </w:r>
      <w:r>
        <w:rPr>
          <w:rFonts w:ascii="LMRoman8" w:hAnsi="LMRoman8" w:eastAsia="LMRoman8"/>
          <w:b w:val="0"/>
          <w:i w:val="0"/>
          <w:color w:val="000000"/>
          <w:sz w:val="16"/>
        </w:rPr>
        <w:t>vida</w:t>
      </w:r>
      <w:r>
        <w:rPr>
          <w:rFonts w:ascii="LMRoman8" w:hAnsi="LMRoman8" w:eastAsia="LMRoman8"/>
          <w:b w:val="0"/>
          <w:i w:val="0"/>
          <w:color w:val="000000"/>
          <w:sz w:val="16"/>
        </w:rPr>
        <w:t>em</w:t>
      </w:r>
      <w:r>
        <w:rPr>
          <w:rFonts w:ascii="LMRoman8" w:hAnsi="LMRoman8" w:eastAsia="LMRoman8"/>
          <w:b w:val="0"/>
          <w:i w:val="0"/>
          <w:color w:val="000000"/>
          <w:sz w:val="16"/>
        </w:rPr>
        <w:t>Kim</w:t>
      </w:r>
      <w:r>
        <w:rPr>
          <w:rFonts w:ascii="LMRoman8" w:hAnsi="LMRoman8" w:eastAsia="LMRoman8"/>
          <w:b w:val="0"/>
          <w:i w:val="0"/>
          <w:color w:val="000000"/>
          <w:sz w:val="16"/>
        </w:rPr>
        <w:t>et</w:t>
      </w:r>
      <w:r>
        <w:rPr>
          <w:rFonts w:ascii="LMRoman8" w:hAnsi="LMRoman8" w:eastAsia="LMRoman8"/>
          <w:b w:val="0"/>
          <w:i w:val="0"/>
          <w:color w:val="000000"/>
          <w:sz w:val="16"/>
        </w:rPr>
        <w:t>al.</w:t>
      </w:r>
      <w:r>
        <w:rPr>
          <w:rFonts w:ascii="LMRoman8" w:hAnsi="LMRoman8" w:eastAsia="LMRoman8"/>
          <w:b w:val="0"/>
          <w:i w:val="0"/>
          <w:color w:val="000000"/>
          <w:sz w:val="16"/>
        </w:rPr>
        <w:t>(2018)</w:t>
      </w:r>
      <w:r>
        <w:rPr>
          <w:rFonts w:ascii="LMRoman8" w:hAnsi="LMRoman8" w:eastAsia="LMRoman8"/>
          <w:b w:val="0"/>
          <w:i w:val="0"/>
          <w:color w:val="000000"/>
          <w:sz w:val="16"/>
        </w:rPr>
        <w:t>e</w:t>
      </w:r>
      <w:r>
        <w:rPr>
          <w:rFonts w:ascii="LMRoman8" w:hAnsi="LMRoman8" w:eastAsia="LMRoman8"/>
          <w:b w:val="0"/>
          <w:i w:val="0"/>
          <w:color w:val="000000"/>
          <w:sz w:val="16"/>
        </w:rPr>
        <w:t>Nägeli</w:t>
      </w:r>
      <w:r>
        <w:rPr>
          <w:rFonts w:ascii="LMRoman8" w:hAnsi="LMRoman8" w:eastAsia="LMRoman8"/>
          <w:b w:val="0"/>
          <w:i w:val="0"/>
          <w:color w:val="000000"/>
          <w:sz w:val="16"/>
        </w:rPr>
        <w:t>et</w:t>
      </w:r>
      <w:r>
        <w:rPr>
          <w:rFonts w:ascii="LMRoman8" w:hAnsi="LMRoman8" w:eastAsia="LMRoman8"/>
          <w:b w:val="0"/>
          <w:i w:val="0"/>
          <w:color w:val="000000"/>
          <w:sz w:val="16"/>
        </w:rPr>
        <w:t xml:space="preserve">al. </w:t>
      </w:r>
      <w:r>
        <w:tab/>
      </w:r>
      <w:r>
        <w:rPr>
          <w:rFonts w:ascii="LMRoman8" w:hAnsi="LMRoman8" w:eastAsia="LMRoman8"/>
          <w:b w:val="0"/>
          <w:i w:val="0"/>
          <w:color w:val="000000"/>
          <w:sz w:val="16"/>
        </w:rPr>
        <w:t>(2019).</w:t>
      </w:r>
    </w:p>
    <w:p>
      <w:pPr>
        <w:autoSpaceDN w:val="0"/>
        <w:tabs>
          <w:tab w:pos="3000" w:val="left"/>
        </w:tabs>
        <w:autoSpaceDE w:val="0"/>
        <w:widowControl/>
        <w:spacing w:line="190" w:lineRule="exact" w:before="0" w:after="0"/>
        <w:ind w:left="380" w:right="144" w:firstLine="0"/>
        <w:jc w:val="left"/>
      </w:pPr>
      <w:r>
        <w:rPr>
          <w:rFonts w:ascii="LMRoman8" w:hAnsi="LMRoman8" w:eastAsia="LMRoman8"/>
          <w:b w:val="0"/>
          <w:i w:val="0"/>
          <w:color w:val="000000"/>
          <w:sz w:val="16"/>
        </w:rPr>
        <w:t>Ambiental:</w:t>
      </w:r>
      <w:r>
        <w:rPr>
          <w:rFonts w:ascii="LMRoman8" w:hAnsi="LMRoman8" w:eastAsia="LMRoman8"/>
          <w:b w:val="0"/>
          <w:i w:val="0"/>
          <w:color w:val="000000"/>
          <w:sz w:val="16"/>
        </w:rPr>
        <w:t xml:space="preserve">energia </w:t>
      </w:r>
      <w:r>
        <w:tab/>
      </w:r>
      <w:r>
        <w:rPr>
          <w:rFonts w:ascii="LMRoman8" w:hAnsi="LMRoman8" w:eastAsia="LMRoman8"/>
          <w:b w:val="0"/>
          <w:i w:val="0"/>
          <w:color w:val="000000"/>
          <w:sz w:val="16"/>
        </w:rPr>
        <w:t>Dimensão</w:t>
      </w:r>
      <w:r>
        <w:rPr>
          <w:rFonts w:ascii="LMRoman8" w:hAnsi="LMRoman8" w:eastAsia="LMRoman8"/>
          <w:b w:val="0"/>
          <w:i w:val="0"/>
          <w:color w:val="000000"/>
          <w:sz w:val="16"/>
        </w:rPr>
        <w:t>ambiental</w:t>
      </w:r>
      <w:r>
        <w:rPr>
          <w:rFonts w:ascii="LMRoman8" w:hAnsi="LMRoman8" w:eastAsia="LMRoman8"/>
          <w:b w:val="0"/>
          <w:i w:val="0"/>
          <w:color w:val="000000"/>
          <w:sz w:val="16"/>
        </w:rPr>
        <w:t>em</w:t>
      </w:r>
      <w:r>
        <w:rPr>
          <w:rFonts w:ascii="LMRoman8" w:hAnsi="LMRoman8" w:eastAsia="LMRoman8"/>
          <w:b w:val="0"/>
          <w:i w:val="0"/>
          <w:color w:val="000000"/>
          <w:sz w:val="16"/>
        </w:rPr>
        <w:t>84</w:t>
      </w:r>
      <w:r>
        <w:rPr>
          <w:rFonts w:ascii="LMRoman8" w:hAnsi="LMRoman8" w:eastAsia="LMRoman8"/>
          <w:b w:val="0"/>
          <w:i w:val="0"/>
          <w:color w:val="000000"/>
          <w:sz w:val="16"/>
        </w:rPr>
        <w:t>e</w:t>
      </w:r>
      <w:r>
        <w:rPr>
          <w:rFonts w:ascii="LMRoman8" w:hAnsi="LMRoman8" w:eastAsia="LMRoman8"/>
          <w:b w:val="0"/>
          <w:i w:val="0"/>
          <w:color w:val="000000"/>
          <w:sz w:val="16"/>
        </w:rPr>
        <w:t>energia</w:t>
      </w:r>
      <w:r>
        <w:rPr>
          <w:rFonts w:ascii="LMRoman8" w:hAnsi="LMRoman8" w:eastAsia="LMRoman8"/>
          <w:b w:val="0"/>
          <w:i w:val="0"/>
          <w:color w:val="000000"/>
          <w:sz w:val="16"/>
        </w:rPr>
        <w:t>em</w:t>
      </w:r>
      <w:r>
        <w:rPr>
          <w:rFonts w:ascii="LMRoman8" w:hAnsi="LMRoman8" w:eastAsia="LMRoman8"/>
          <w:b w:val="0"/>
          <w:i w:val="0"/>
          <w:color w:val="000000"/>
          <w:sz w:val="16"/>
        </w:rPr>
        <w:t>36</w:t>
      </w:r>
      <w:r>
        <w:rPr>
          <w:rFonts w:ascii="LMRoman8" w:hAnsi="LMRoman8" w:eastAsia="LMRoman8"/>
          <w:b w:val="0"/>
          <w:i w:val="0"/>
          <w:color w:val="000000"/>
          <w:sz w:val="16"/>
        </w:rPr>
        <w:t>registros;</w:t>
      </w:r>
      <w:r>
        <w:rPr>
          <w:rFonts w:ascii="LMRoman8" w:hAnsi="LMRoman8" w:eastAsia="LMRoman8"/>
          <w:b w:val="0"/>
          <w:i w:val="0"/>
          <w:color w:val="000000"/>
          <w:sz w:val="16"/>
        </w:rPr>
        <w:t>crescimento</w:t>
      </w:r>
      <w:r>
        <w:rPr>
          <w:rFonts w:ascii="LMRoman8" w:hAnsi="LMRoman8" w:eastAsia="LMRoman8"/>
          <w:b w:val="0"/>
          <w:i w:val="0"/>
          <w:color w:val="000000"/>
          <w:sz w:val="16"/>
        </w:rPr>
        <w:t>de</w:t>
      </w:r>
      <w:r>
        <w:rPr>
          <w:rFonts w:ascii="LMRoman8" w:hAnsi="LMRoman8" w:eastAsia="LMRoman8"/>
          <w:b w:val="0"/>
          <w:i w:val="0"/>
          <w:color w:val="000000"/>
          <w:sz w:val="16"/>
        </w:rPr>
        <w:t>ciclo</w:t>
      </w:r>
      <w:r>
        <w:rPr>
          <w:rFonts w:ascii="LMRoman8" w:hAnsi="LMRoman8" w:eastAsia="LMRoman8"/>
          <w:b w:val="0"/>
          <w:i w:val="0"/>
          <w:color w:val="000000"/>
          <w:sz w:val="16"/>
        </w:rPr>
        <w:t>de</w:t>
      </w:r>
      <w:r>
        <w:rPr>
          <w:rFonts w:ascii="LMRoman8" w:hAnsi="LMRoman8" w:eastAsia="LMRoman8"/>
          <w:b w:val="0"/>
          <w:i w:val="0"/>
          <w:color w:val="000000"/>
          <w:sz w:val="16"/>
        </w:rPr>
        <w:t>vida</w:t>
      </w:r>
      <w:r>
        <w:rPr>
          <w:rFonts w:ascii="LMRoman8" w:hAnsi="LMRoman8" w:eastAsia="LMRoman8"/>
          <w:b w:val="0"/>
          <w:i w:val="0"/>
          <w:color w:val="000000"/>
          <w:sz w:val="16"/>
        </w:rPr>
        <w:t xml:space="preserve">e </w:t>
      </w:r>
      <w:r>
        <w:tab/>
      </w:r>
      <w:r>
        <w:rPr>
          <w:rFonts w:ascii="LMRoman8" w:hAnsi="LMRoman8" w:eastAsia="LMRoman8"/>
          <w:b w:val="0"/>
          <w:i w:val="0"/>
          <w:color w:val="000000"/>
          <w:sz w:val="16"/>
        </w:rPr>
        <w:t>carbono</w:t>
      </w:r>
      <w:r>
        <w:rPr>
          <w:rFonts w:ascii="LMRoman8" w:hAnsi="LMRoman8" w:eastAsia="LMRoman8"/>
          <w:b w:val="0"/>
          <w:i w:val="0"/>
          <w:color w:val="000000"/>
          <w:sz w:val="16"/>
        </w:rPr>
        <w:t>no</w:t>
      </w:r>
      <w:r>
        <w:rPr>
          <w:rFonts w:ascii="LMRoman8" w:hAnsi="LMRoman8" w:eastAsia="LMRoman8"/>
          <w:b w:val="0"/>
          <w:i w:val="0"/>
          <w:color w:val="000000"/>
          <w:sz w:val="16"/>
        </w:rPr>
        <w:t>período</w:t>
      </w:r>
      <w:r>
        <w:rPr>
          <w:rFonts w:ascii="LMRoman8" w:hAnsi="LMRoman8" w:eastAsia="LMRoman8"/>
          <w:b w:val="0"/>
          <w:i w:val="0"/>
          <w:color w:val="000000"/>
          <w:sz w:val="16"/>
        </w:rPr>
        <w:t>recente.</w:t>
      </w:r>
    </w:p>
    <w:p>
      <w:pPr>
        <w:autoSpaceDN w:val="0"/>
        <w:tabs>
          <w:tab w:pos="3000" w:val="left"/>
        </w:tabs>
        <w:autoSpaceDE w:val="0"/>
        <w:widowControl/>
        <w:spacing w:line="188" w:lineRule="exact" w:before="0" w:after="0"/>
        <w:ind w:left="380" w:right="432" w:firstLine="0"/>
        <w:jc w:val="left"/>
      </w:pPr>
      <w:r>
        <w:rPr>
          <w:rFonts w:ascii="LMRoman8" w:hAnsi="LMRoman8" w:eastAsia="LMRoman8"/>
          <w:b w:val="0"/>
          <w:i w:val="0"/>
          <w:color w:val="000000"/>
          <w:sz w:val="16"/>
        </w:rPr>
        <w:t>Social:</w:t>
      </w:r>
      <w:r>
        <w:rPr>
          <w:rFonts w:ascii="LMRoman8" w:hAnsi="LMRoman8" w:eastAsia="LMRoman8"/>
          <w:b w:val="0"/>
          <w:i w:val="0"/>
          <w:color w:val="000000"/>
          <w:sz w:val="16"/>
        </w:rPr>
        <w:t>impacto</w:t>
      </w:r>
      <w:r>
        <w:rPr>
          <w:rFonts w:ascii="LMRoman8" w:hAnsi="LMRoman8" w:eastAsia="LMRoman8"/>
          <w:b w:val="0"/>
          <w:i w:val="0"/>
          <w:color w:val="000000"/>
          <w:sz w:val="16"/>
        </w:rPr>
        <w:t>nos</w:t>
      </w:r>
      <w:r>
        <w:rPr>
          <w:rFonts w:ascii="LMRoman8" w:hAnsi="LMRoman8" w:eastAsia="LMRoman8"/>
          <w:b w:val="0"/>
          <w:i w:val="0"/>
          <w:color w:val="000000"/>
          <w:sz w:val="16"/>
        </w:rPr>
        <w:t xml:space="preserve">usuários </w:t>
      </w:r>
      <w:r>
        <w:tab/>
      </w:r>
      <w:r>
        <w:rPr>
          <w:rFonts w:ascii="LMRoman8" w:hAnsi="LMRoman8" w:eastAsia="LMRoman8"/>
          <w:b w:val="0"/>
          <w:i w:val="0"/>
          <w:color w:val="000000"/>
          <w:sz w:val="16"/>
        </w:rPr>
        <w:t>Dimensão</w:t>
      </w:r>
      <w:r>
        <w:rPr>
          <w:rFonts w:ascii="LMRoman8" w:hAnsi="LMRoman8" w:eastAsia="LMRoman8"/>
          <w:b w:val="0"/>
          <w:i w:val="0"/>
          <w:color w:val="000000"/>
          <w:sz w:val="16"/>
        </w:rPr>
        <w:t>social</w:t>
      </w:r>
      <w:r>
        <w:rPr>
          <w:rFonts w:ascii="LMRoman8" w:hAnsi="LMRoman8" w:eastAsia="LMRoman8"/>
          <w:b w:val="0"/>
          <w:i w:val="0"/>
          <w:color w:val="000000"/>
          <w:sz w:val="16"/>
        </w:rPr>
        <w:t>em</w:t>
      </w:r>
      <w:r>
        <w:rPr>
          <w:rFonts w:ascii="LMRoman8" w:hAnsi="LMRoman8" w:eastAsia="LMRoman8"/>
          <w:b w:val="0"/>
          <w:i w:val="0"/>
          <w:color w:val="000000"/>
          <w:sz w:val="16"/>
        </w:rPr>
        <w:t>57;</w:t>
      </w:r>
      <w:r>
        <w:rPr>
          <w:rFonts w:ascii="LMRoman8" w:hAnsi="LMRoman8" w:eastAsia="LMRoman8"/>
          <w:b w:val="0"/>
          <w:i w:val="0"/>
          <w:color w:val="000000"/>
          <w:sz w:val="16"/>
        </w:rPr>
        <w:t>conforto</w:t>
      </w:r>
      <w:r>
        <w:rPr>
          <w:rFonts w:ascii="LMRoman8" w:hAnsi="LMRoman8" w:eastAsia="LMRoman8"/>
          <w:b w:val="0"/>
          <w:i w:val="0"/>
          <w:color w:val="000000"/>
          <w:sz w:val="16"/>
        </w:rPr>
        <w:t>em</w:t>
      </w:r>
      <w:r>
        <w:rPr>
          <w:rFonts w:ascii="LMRoman8" w:hAnsi="LMRoman8" w:eastAsia="LMRoman8"/>
          <w:b w:val="0"/>
          <w:i w:val="0"/>
          <w:color w:val="000000"/>
          <w:sz w:val="16"/>
        </w:rPr>
        <w:t>17,</w:t>
      </w:r>
      <w:r>
        <w:rPr>
          <w:rFonts w:ascii="LMRoman8" w:hAnsi="LMRoman8" w:eastAsia="LMRoman8"/>
          <w:b w:val="0"/>
          <w:i w:val="0"/>
          <w:color w:val="000000"/>
          <w:sz w:val="16"/>
        </w:rPr>
        <w:t>segurança</w:t>
      </w:r>
      <w:r>
        <w:rPr>
          <w:rFonts w:ascii="LMRoman8" w:hAnsi="LMRoman8" w:eastAsia="LMRoman8"/>
          <w:b w:val="0"/>
          <w:i w:val="0"/>
          <w:color w:val="000000"/>
          <w:sz w:val="16"/>
        </w:rPr>
        <w:t>em</w:t>
      </w:r>
      <w:r>
        <w:rPr>
          <w:rFonts w:ascii="LMRoman8" w:hAnsi="LMRoman8" w:eastAsia="LMRoman8"/>
          <w:b w:val="0"/>
          <w:i w:val="0"/>
          <w:color w:val="000000"/>
          <w:sz w:val="16"/>
        </w:rPr>
        <w:t>17</w:t>
      </w:r>
      <w:r>
        <w:rPr>
          <w:rFonts w:ascii="LMRoman8" w:hAnsi="LMRoman8" w:eastAsia="LMRoman8"/>
          <w:b w:val="0"/>
          <w:i w:val="0"/>
          <w:color w:val="000000"/>
          <w:sz w:val="16"/>
        </w:rPr>
        <w:t>e</w:t>
      </w:r>
      <w:r>
        <w:rPr>
          <w:rFonts w:ascii="LMRoman8" w:hAnsi="LMRoman8" w:eastAsia="LMRoman8"/>
          <w:b w:val="0"/>
          <w:i w:val="0"/>
          <w:color w:val="000000"/>
          <w:sz w:val="16"/>
        </w:rPr>
        <w:t>satisfação</w:t>
      </w:r>
      <w:r>
        <w:rPr>
          <w:rFonts w:ascii="LMRoman8" w:hAnsi="LMRoman8" w:eastAsia="LMRoman8"/>
          <w:b w:val="0"/>
          <w:i w:val="0"/>
          <w:color w:val="000000"/>
          <w:sz w:val="16"/>
        </w:rPr>
        <w:t>em</w:t>
      </w:r>
      <w:r>
        <w:rPr>
          <w:rFonts w:ascii="LMRoman8" w:hAnsi="LMRoman8" w:eastAsia="LMRoman8"/>
          <w:b w:val="0"/>
          <w:i w:val="0"/>
          <w:color w:val="000000"/>
          <w:sz w:val="16"/>
        </w:rPr>
        <w:t xml:space="preserve">nove </w:t>
      </w:r>
      <w:r>
        <w:tab/>
      </w:r>
      <w:r>
        <w:rPr>
          <w:rFonts w:ascii="LMRoman8" w:hAnsi="LMRoman8" w:eastAsia="LMRoman8"/>
          <w:b w:val="0"/>
          <w:i w:val="0"/>
          <w:color w:val="000000"/>
          <w:sz w:val="16"/>
        </w:rPr>
        <w:t>registros.</w:t>
      </w:r>
    </w:p>
    <w:p>
      <w:pPr>
        <w:autoSpaceDN w:val="0"/>
        <w:autoSpaceDE w:val="0"/>
        <w:widowControl/>
        <w:spacing w:line="200" w:lineRule="exact" w:before="142" w:after="0"/>
        <w:ind w:left="0" w:right="3324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Fonte: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elaborado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pelo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autor.</w:t>
      </w:r>
    </w:p>
    <w:p>
      <w:pPr>
        <w:autoSpaceDN w:val="0"/>
        <w:autoSpaceDE w:val="0"/>
        <w:widowControl/>
        <w:spacing w:line="238" w:lineRule="exact" w:before="508" w:after="0"/>
        <w:ind w:left="0" w:right="4472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19</w:t>
      </w:r>
    </w:p>
    <w:p>
      <w:pPr>
        <w:sectPr>
          <w:pgSz w:w="11906" w:h="16838"/>
          <w:pgMar w:top="878" w:right="1080" w:bottom="24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4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1600200</wp:posOffset>
            </wp:positionH>
            <wp:positionV relativeFrom="page">
              <wp:posOffset>4406900</wp:posOffset>
            </wp:positionV>
            <wp:extent cx="4711700" cy="1574800"/>
            <wp:wrapNone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711700" cy="15748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18" w:lineRule="exact" w:before="0" w:after="232"/>
        <w:ind w:left="1770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Tabela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11.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Especificação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operacional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candidata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dos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indicadores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1878"/>
        <w:gridCol w:w="1878"/>
        <w:gridCol w:w="1878"/>
        <w:gridCol w:w="1878"/>
        <w:gridCol w:w="1878"/>
      </w:tblGrid>
      <w:tr>
        <w:trPr>
          <w:trHeight w:hRule="exact" w:val="314"/>
        </w:trPr>
        <w:tc>
          <w:tcPr>
            <w:tcW w:type="dxa" w:w="1748"/>
            <w:tcBorders>
              <w:top w:sz="7.48799991607666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74" w:after="0"/>
              <w:ind w:left="128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Critério</w:t>
            </w:r>
          </w:p>
        </w:tc>
        <w:tc>
          <w:tcPr>
            <w:tcW w:type="dxa" w:w="3740"/>
            <w:tcBorders>
              <w:top w:sz="7.48799991607666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74" w:after="0"/>
              <w:ind w:left="15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Indicador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candidato</w:t>
            </w:r>
          </w:p>
        </w:tc>
        <w:tc>
          <w:tcPr>
            <w:tcW w:type="dxa" w:w="1680"/>
            <w:tcBorders>
              <w:top w:sz="7.48799991607666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74" w:after="0"/>
              <w:ind w:left="216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Fonte</w:t>
            </w:r>
          </w:p>
        </w:tc>
        <w:tc>
          <w:tcPr>
            <w:tcW w:type="dxa" w:w="1060"/>
            <w:tcBorders>
              <w:top w:sz="7.48799991607666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74" w:after="0"/>
              <w:ind w:left="134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Period.</w:t>
            </w:r>
          </w:p>
        </w:tc>
        <w:tc>
          <w:tcPr>
            <w:tcW w:type="dxa" w:w="862"/>
            <w:tcBorders>
              <w:top w:sz="7.48799991607666" w:val="single" w:color="#000000"/>
              <w:bottom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74" w:after="0"/>
              <w:ind w:left="164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Pref.</w:t>
            </w:r>
          </w:p>
        </w:tc>
      </w:tr>
      <w:tr>
        <w:trPr>
          <w:trHeight w:hRule="exact" w:val="246"/>
        </w:trPr>
        <w:tc>
          <w:tcPr>
            <w:tcW w:type="dxa" w:w="1748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74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Desempenho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falha</w:t>
            </w:r>
          </w:p>
        </w:tc>
        <w:tc>
          <w:tcPr>
            <w:tcW w:type="dxa" w:w="3740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74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Ordens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recorrentes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por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sistema,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%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das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ordens</w:t>
            </w:r>
          </w:p>
        </w:tc>
        <w:tc>
          <w:tcPr>
            <w:tcW w:type="dxa" w:w="1680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74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Ordens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serviço</w:t>
            </w:r>
          </w:p>
        </w:tc>
        <w:tc>
          <w:tcPr>
            <w:tcW w:type="dxa" w:w="1060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74" w:after="0"/>
              <w:ind w:left="134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Mensal</w:t>
            </w:r>
          </w:p>
        </w:tc>
        <w:tc>
          <w:tcPr>
            <w:tcW w:type="dxa" w:w="862"/>
            <w:tcBorders>
              <w:top w:sz="4.6799998283386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74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Menor</w:t>
            </w:r>
          </w:p>
        </w:tc>
      </w:tr>
      <w:tr>
        <w:trPr>
          <w:trHeight w:hRule="exact" w:val="200"/>
        </w:trPr>
        <w:tc>
          <w:tcPr>
            <w:tcW w:type="dxa" w:w="17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24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Informação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dados</w:t>
            </w:r>
          </w:p>
        </w:tc>
        <w:tc>
          <w:tcPr>
            <w:tcW w:type="dxa" w:w="3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24" w:after="0"/>
              <w:ind w:left="15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Ativos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com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cadastro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histórico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completos,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%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24" w:after="0"/>
              <w:ind w:left="214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Cadastro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ordens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24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Trimestral</w:t>
            </w:r>
          </w:p>
        </w:tc>
        <w:tc>
          <w:tcPr>
            <w:tcW w:type="dxa" w:w="86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24" w:after="0"/>
              <w:ind w:left="162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Maior</w:t>
            </w:r>
          </w:p>
        </w:tc>
      </w:tr>
      <w:tr>
        <w:trPr>
          <w:trHeight w:hRule="exact" w:val="202"/>
        </w:trPr>
        <w:tc>
          <w:tcPr>
            <w:tcW w:type="dxa" w:w="17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26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Condição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vida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útil</w:t>
            </w:r>
          </w:p>
        </w:tc>
        <w:tc>
          <w:tcPr>
            <w:tcW w:type="dxa" w:w="3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26" w:after="0"/>
              <w:ind w:left="15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Índice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condição,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escala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institucional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26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Inspeção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cadas-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26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Semestral</w:t>
            </w:r>
          </w:p>
        </w:tc>
        <w:tc>
          <w:tcPr>
            <w:tcW w:type="dxa" w:w="86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26" w:after="0"/>
              <w:ind w:left="164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Maior</w:t>
            </w:r>
          </w:p>
        </w:tc>
      </w:tr>
    </w:tbl>
    <w:p>
      <w:pPr>
        <w:autoSpaceDN w:val="0"/>
        <w:autoSpaceDE w:val="0"/>
        <w:widowControl/>
        <w:spacing w:line="160" w:lineRule="exact" w:before="4" w:after="14"/>
        <w:ind w:left="0" w:right="3220" w:firstLine="0"/>
        <w:jc w:val="right"/>
      </w:pPr>
      <w:r>
        <w:rPr>
          <w:rFonts w:ascii="LMRoman8" w:hAnsi="LMRoman8" w:eastAsia="LMRoman8"/>
          <w:b w:val="0"/>
          <w:i w:val="0"/>
          <w:color w:val="000000"/>
          <w:sz w:val="16"/>
        </w:rPr>
        <w:t>tro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1878"/>
        <w:gridCol w:w="1878"/>
        <w:gridCol w:w="1878"/>
        <w:gridCol w:w="1878"/>
        <w:gridCol w:w="1878"/>
      </w:tblGrid>
      <w:tr>
        <w:trPr>
          <w:trHeight w:hRule="exact" w:val="190"/>
        </w:trPr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16" w:after="0"/>
              <w:ind w:left="20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Conformidade</w:t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16" w:after="0"/>
              <w:ind w:left="37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Requisitos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atendidos,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%</w:t>
            </w:r>
          </w:p>
        </w:tc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4" w:after="0"/>
              <w:ind w:left="0" w:right="156" w:firstLine="0"/>
              <w:jc w:val="righ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Laudos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audito-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16" w:after="0"/>
              <w:ind w:left="176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Anual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16" w:after="0"/>
              <w:ind w:left="0" w:right="138" w:firstLine="0"/>
              <w:jc w:val="righ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Maior</w:t>
            </w:r>
          </w:p>
        </w:tc>
      </w:tr>
    </w:tbl>
    <w:p>
      <w:pPr>
        <w:autoSpaceDN w:val="0"/>
        <w:autoSpaceDE w:val="0"/>
        <w:widowControl/>
        <w:spacing w:line="160" w:lineRule="exact" w:before="14" w:after="2"/>
        <w:ind w:left="0" w:right="3172" w:firstLine="0"/>
        <w:jc w:val="right"/>
      </w:pPr>
      <w:r>
        <w:rPr>
          <w:rFonts w:ascii="LMRoman8" w:hAnsi="LMRoman8" w:eastAsia="LMRoman8"/>
          <w:b w:val="0"/>
          <w:i w:val="0"/>
          <w:color w:val="000000"/>
          <w:sz w:val="16"/>
        </w:rPr>
        <w:t>rias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1878"/>
        <w:gridCol w:w="1878"/>
        <w:gridCol w:w="1878"/>
        <w:gridCol w:w="1878"/>
        <w:gridCol w:w="1878"/>
      </w:tblGrid>
      <w:tr>
        <w:trPr>
          <w:trHeight w:hRule="exact" w:val="202"/>
        </w:trPr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28" w:after="0"/>
              <w:ind w:left="20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Custo</w:t>
            </w:r>
          </w:p>
        </w:tc>
        <w:tc>
          <w:tcPr>
            <w:tcW w:type="dxa" w:w="3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4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Custo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estimado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por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área,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R$/m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2</w:t>
            </w:r>
          </w:p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28" w:after="0"/>
              <w:ind w:left="0" w:right="272" w:firstLine="0"/>
              <w:jc w:val="righ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Orçamentos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28" w:after="0"/>
              <w:ind w:left="0" w:right="168" w:firstLine="0"/>
              <w:jc w:val="righ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Semestral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28" w:after="0"/>
              <w:ind w:left="0" w:right="120" w:firstLine="0"/>
              <w:jc w:val="righ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Menor</w:t>
            </w:r>
          </w:p>
        </w:tc>
      </w:tr>
    </w:tbl>
    <w:p>
      <w:pPr>
        <w:autoSpaceDN w:val="0"/>
        <w:autoSpaceDE w:val="0"/>
        <w:widowControl/>
        <w:spacing w:line="160" w:lineRule="exact" w:before="16" w:after="2"/>
        <w:ind w:left="0" w:right="2850" w:firstLine="0"/>
        <w:jc w:val="right"/>
      </w:pPr>
      <w:r>
        <w:rPr>
          <w:rFonts w:ascii="LMRoman8" w:hAnsi="LMRoman8" w:eastAsia="LMRoman8"/>
          <w:b w:val="0"/>
          <w:i w:val="0"/>
          <w:color w:val="000000"/>
          <w:sz w:val="16"/>
        </w:rPr>
        <w:t>SINAPI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1878"/>
        <w:gridCol w:w="1878"/>
        <w:gridCol w:w="1878"/>
        <w:gridCol w:w="1878"/>
        <w:gridCol w:w="1878"/>
      </w:tblGrid>
      <w:tr>
        <w:trPr>
          <w:trHeight w:hRule="exact" w:val="202"/>
        </w:trPr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28" w:after="0"/>
              <w:ind w:left="20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Energia</w:t>
            </w:r>
          </w:p>
        </w:tc>
        <w:tc>
          <w:tcPr>
            <w:tcW w:type="dxa" w:w="3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2" w:after="0"/>
              <w:ind w:left="61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Consumo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anual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por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área,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kWh/m</w:t>
            </w:r>
            <w:r>
              <w:rPr>
                <w:rFonts w:ascii="LMRoman6" w:hAnsi="LMRoman6" w:eastAsia="LMRoman6"/>
                <w:b w:val="0"/>
                <w:i w:val="0"/>
                <w:color w:val="000000"/>
                <w:sz w:val="12"/>
              </w:rPr>
              <w:t>2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/ano</w:t>
            </w:r>
          </w:p>
        </w:tc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6" w:after="0"/>
              <w:ind w:left="456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Faturas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ou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medi-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28" w:after="0"/>
              <w:ind w:left="156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Mensal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28" w:after="0"/>
              <w:ind w:left="0" w:right="120" w:firstLine="0"/>
              <w:jc w:val="righ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Menor</w:t>
            </w:r>
          </w:p>
        </w:tc>
      </w:tr>
    </w:tbl>
    <w:p>
      <w:pPr>
        <w:autoSpaceDN w:val="0"/>
        <w:autoSpaceDE w:val="0"/>
        <w:widowControl/>
        <w:spacing w:line="158" w:lineRule="exact" w:before="16" w:after="14"/>
        <w:ind w:left="0" w:right="3050" w:firstLine="0"/>
        <w:jc w:val="right"/>
      </w:pPr>
      <w:r>
        <w:rPr>
          <w:rFonts w:ascii="LMRoman8" w:hAnsi="LMRoman8" w:eastAsia="LMRoman8"/>
          <w:b w:val="0"/>
          <w:i w:val="0"/>
          <w:color w:val="000000"/>
          <w:sz w:val="16"/>
        </w:rPr>
        <w:t>dores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1878"/>
        <w:gridCol w:w="1878"/>
        <w:gridCol w:w="1878"/>
        <w:gridCol w:w="1878"/>
        <w:gridCol w:w="1878"/>
      </w:tblGrid>
      <w:tr>
        <w:trPr>
          <w:trHeight w:hRule="exact" w:val="174"/>
        </w:trPr>
        <w:tc>
          <w:tcPr>
            <w:tcW w:type="dxa" w:w="16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4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Impacto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nos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usuá-</w:t>
            </w:r>
          </w:p>
        </w:tc>
        <w:tc>
          <w:tcPr>
            <w:tcW w:type="dxa" w:w="3220"/>
            <w:vMerge w:val="restart"/>
            <w:tcBorders>
              <w:bottom w:sz="7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6" w:after="0"/>
              <w:ind w:left="210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Reclamações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por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100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usuários</w:t>
            </w:r>
          </w:p>
        </w:tc>
        <w:tc>
          <w:tcPr>
            <w:tcW w:type="dxa" w:w="2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4" w:after="0"/>
              <w:ind w:left="0" w:right="170" w:firstLine="0"/>
              <w:jc w:val="righ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Ouvidoria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cha-</w:t>
            </w:r>
          </w:p>
        </w:tc>
        <w:tc>
          <w:tcPr>
            <w:tcW w:type="dxa" w:w="1100"/>
            <w:vMerge w:val="restart"/>
            <w:tcBorders>
              <w:bottom w:sz="7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6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Trimestral</w:t>
            </w:r>
          </w:p>
        </w:tc>
        <w:tc>
          <w:tcPr>
            <w:tcW w:type="dxa" w:w="862"/>
            <w:vMerge w:val="restart"/>
            <w:tcBorders>
              <w:bottom w:sz="7.4879999160766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6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Menor</w:t>
            </w:r>
          </w:p>
        </w:tc>
      </w:tr>
      <w:tr>
        <w:trPr>
          <w:trHeight w:hRule="exact" w:val="262"/>
        </w:trPr>
        <w:tc>
          <w:tcPr>
            <w:tcW w:type="dxa" w:w="1688"/>
            <w:tcBorders>
              <w:bottom w:sz="7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32" w:after="0"/>
              <w:ind w:left="128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rios</w:t>
            </w:r>
          </w:p>
        </w:tc>
        <w:tc>
          <w:tcPr>
            <w:tcW w:type="dxa" w:w="1878"/>
            <w:vMerge/>
            <w:tcBorders>
              <w:bottom w:sz="7.48799991607666" w:val="single" w:color="#000000"/>
            </w:tcBorders>
          </w:tcPr>
          <w:p/>
        </w:tc>
        <w:tc>
          <w:tcPr>
            <w:tcW w:type="dxa" w:w="2220"/>
            <w:tcBorders>
              <w:bottom w:sz="7.4879999160766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32" w:after="0"/>
              <w:ind w:left="0" w:right="952" w:firstLine="0"/>
              <w:jc w:val="righ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mados</w:t>
            </w:r>
          </w:p>
        </w:tc>
        <w:tc>
          <w:tcPr>
            <w:tcW w:type="dxa" w:w="1878"/>
            <w:vMerge/>
            <w:tcBorders>
              <w:bottom w:sz="7.48799991607666" w:val="single" w:color="#000000"/>
            </w:tcBorders>
          </w:tcPr>
          <w:p/>
        </w:tc>
        <w:tc>
          <w:tcPr>
            <w:tcW w:type="dxa" w:w="1878"/>
            <w:vMerge/>
            <w:tcBorders>
              <w:bottom w:sz="7.48799991607666" w:val="single" w:color="#000000"/>
            </w:tcBorders>
          </w:tcPr>
          <w:p/>
        </w:tc>
      </w:tr>
    </w:tbl>
    <w:p>
      <w:pPr>
        <w:autoSpaceDN w:val="0"/>
        <w:autoSpaceDE w:val="0"/>
        <w:widowControl/>
        <w:spacing w:line="238" w:lineRule="exact" w:before="34" w:after="0"/>
        <w:ind w:left="288" w:right="0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Nota: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Period.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indica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periodicidade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apuração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Pref.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direção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preferência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indicador.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Fonte: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elaborado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pelo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autor.</w:t>
      </w:r>
    </w:p>
    <w:p>
      <w:pPr>
        <w:autoSpaceDN w:val="0"/>
        <w:autoSpaceDE w:val="0"/>
        <w:widowControl/>
        <w:spacing w:line="290" w:lineRule="exact" w:before="396" w:after="334"/>
        <w:ind w:left="260" w:right="58" w:firstLine="352"/>
        <w:jc w:val="both"/>
      </w:pP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processo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decisório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candidato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está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resumido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na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Figura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11.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unidade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comparação 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deve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ser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definida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antes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da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coleta;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critérios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indicadores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são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validados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antes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dos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pesos;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prioridade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só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é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divulgada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após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análise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sensibilidade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escolhas.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40.0" w:type="dxa"/>
      </w:tblPr>
      <w:tblGrid>
        <w:gridCol w:w="3131"/>
        <w:gridCol w:w="3131"/>
        <w:gridCol w:w="3131"/>
      </w:tblGrid>
      <w:tr>
        <w:trPr>
          <w:trHeight w:hRule="exact" w:val="230"/>
        </w:trPr>
        <w:tc>
          <w:tcPr>
            <w:tcW w:type="dxa" w:w="2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60" w:after="0"/>
              <w:ind w:left="0" w:right="752" w:firstLine="0"/>
              <w:jc w:val="righ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1.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Definir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uni-</w:t>
            </w:r>
          </w:p>
        </w:tc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60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2.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Validar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crité-</w:t>
            </w:r>
          </w:p>
        </w:tc>
        <w:tc>
          <w:tcPr>
            <w:tcW w:type="dxa" w:w="2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60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3.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Verificar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qua-</w:t>
            </w:r>
          </w:p>
        </w:tc>
      </w:tr>
      <w:tr>
        <w:trPr>
          <w:trHeight w:hRule="exact" w:val="480"/>
        </w:trPr>
        <w:tc>
          <w:tcPr>
            <w:tcW w:type="dxa" w:w="2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0" w:after="0"/>
              <w:ind w:left="0" w:right="774" w:firstLine="0"/>
              <w:jc w:val="righ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dade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decisória</w:t>
            </w:r>
          </w:p>
        </w:tc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0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rios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indicadores</w:t>
            </w:r>
          </w:p>
        </w:tc>
        <w:tc>
          <w:tcPr>
            <w:tcW w:type="dxa" w:w="2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0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lidade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dos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dados</w:t>
            </w:r>
          </w:p>
        </w:tc>
      </w:tr>
      <w:tr>
        <w:trPr>
          <w:trHeight w:hRule="exact" w:val="479"/>
        </w:trPr>
        <w:tc>
          <w:tcPr>
            <w:tcW w:type="dxa" w:w="2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308" w:after="0"/>
              <w:ind w:left="0" w:right="616" w:firstLine="0"/>
              <w:jc w:val="righ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6.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Registrar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pu-</w:t>
            </w:r>
          </w:p>
        </w:tc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316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5.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Aplicar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vetos</w:t>
            </w:r>
          </w:p>
        </w:tc>
        <w:tc>
          <w:tcPr>
            <w:tcW w:type="dxa" w:w="2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308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4.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Normalizar,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pon-</w:t>
            </w:r>
          </w:p>
        </w:tc>
      </w:tr>
      <w:tr>
        <w:trPr>
          <w:trHeight w:hRule="exact" w:val="253"/>
        </w:trPr>
        <w:tc>
          <w:tcPr>
            <w:tcW w:type="dxa" w:w="2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0" w:right="612" w:firstLine="0"/>
              <w:jc w:val="righ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blicar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a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prioridade</w:t>
            </w:r>
          </w:p>
        </w:tc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34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sensibilidade</w:t>
            </w:r>
          </w:p>
        </w:tc>
        <w:tc>
          <w:tcPr>
            <w:tcW w:type="dxa" w:w="2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derar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agregar</w:t>
            </w:r>
          </w:p>
        </w:tc>
      </w:tr>
    </w:tbl>
    <w:p>
      <w:pPr>
        <w:autoSpaceDN w:val="0"/>
        <w:autoSpaceDE w:val="0"/>
        <w:widowControl/>
        <w:spacing w:line="188" w:lineRule="exact" w:before="488" w:after="0"/>
        <w:ind w:left="2304" w:right="2160" w:firstLine="0"/>
        <w:jc w:val="center"/>
      </w:pPr>
      <w:r>
        <w:rPr>
          <w:rFonts w:ascii="LMRoman8" w:hAnsi="LMRoman8" w:eastAsia="LMRoman8"/>
          <w:b w:val="0"/>
          <w:i w:val="0"/>
          <w:color w:val="000000"/>
          <w:sz w:val="16"/>
        </w:rPr>
        <w:t>Veto</w:t>
      </w:r>
      <w:r>
        <w:rPr>
          <w:rFonts w:ascii="LMRoman8" w:hAnsi="LMRoman8" w:eastAsia="LMRoman8"/>
          <w:b w:val="0"/>
          <w:i w:val="0"/>
          <w:color w:val="000000"/>
          <w:sz w:val="16"/>
        </w:rPr>
        <w:t>não</w:t>
      </w:r>
      <w:r>
        <w:rPr>
          <w:rFonts w:ascii="LMRoman8" w:hAnsi="LMRoman8" w:eastAsia="LMRoman8"/>
          <w:b w:val="0"/>
          <w:i w:val="0"/>
          <w:color w:val="000000"/>
          <w:sz w:val="16"/>
        </w:rPr>
        <w:t>compensatório:</w:t>
      </w:r>
      <w:r>
        <w:rPr>
          <w:rFonts w:ascii="LMRoman8" w:hAnsi="LMRoman8" w:eastAsia="LMRoman8"/>
          <w:b w:val="0"/>
          <w:i w:val="0"/>
          <w:color w:val="000000"/>
          <w:sz w:val="16"/>
        </w:rPr>
        <w:t>risco</w:t>
      </w:r>
      <w:r>
        <w:rPr>
          <w:rFonts w:ascii="LMRoman8" w:hAnsi="LMRoman8" w:eastAsia="LMRoman8"/>
          <w:b w:val="0"/>
          <w:i w:val="0"/>
          <w:color w:val="000000"/>
          <w:sz w:val="16"/>
        </w:rPr>
        <w:t>estrutural,</w:t>
      </w:r>
      <w:r>
        <w:rPr>
          <w:rFonts w:ascii="LMRoman8" w:hAnsi="LMRoman8" w:eastAsia="LMRoman8"/>
          <w:b w:val="0"/>
          <w:i w:val="0"/>
          <w:color w:val="000000"/>
          <w:sz w:val="16"/>
        </w:rPr>
        <w:t>risco</w:t>
      </w:r>
      <w:r>
        <w:rPr>
          <w:rFonts w:ascii="LMRoman8" w:hAnsi="LMRoman8" w:eastAsia="LMRoman8"/>
          <w:b w:val="0"/>
          <w:i w:val="0"/>
          <w:color w:val="000000"/>
          <w:sz w:val="16"/>
        </w:rPr>
        <w:t>à</w:t>
      </w:r>
      <w:r>
        <w:rPr>
          <w:rFonts w:ascii="LMRoman8" w:hAnsi="LMRoman8" w:eastAsia="LMRoman8"/>
          <w:b w:val="0"/>
          <w:i w:val="0"/>
          <w:color w:val="000000"/>
          <w:sz w:val="16"/>
        </w:rPr>
        <w:t>vida,</w:t>
      </w:r>
      <w:r>
        <w:rPr>
          <w:rFonts w:ascii="LMRoman8" w:hAnsi="LMRoman8" w:eastAsia="LMRoman8"/>
          <w:b w:val="0"/>
          <w:i w:val="0"/>
          <w:color w:val="000000"/>
          <w:sz w:val="16"/>
        </w:rPr>
        <w:t xml:space="preserve">incêndio </w:t>
      </w:r>
      <w:r>
        <w:rPr>
          <w:rFonts w:ascii="LMRoman8" w:hAnsi="LMRoman8" w:eastAsia="LMRoman8"/>
          <w:b w:val="0"/>
          <w:i w:val="0"/>
          <w:color w:val="000000"/>
          <w:sz w:val="16"/>
        </w:rPr>
        <w:t>ou</w:t>
      </w:r>
      <w:r>
        <w:rPr>
          <w:rFonts w:ascii="LMRoman8" w:hAnsi="LMRoman8" w:eastAsia="LMRoman8"/>
          <w:b w:val="0"/>
          <w:i w:val="0"/>
          <w:color w:val="000000"/>
          <w:sz w:val="16"/>
        </w:rPr>
        <w:t>descumprimento</w:t>
      </w:r>
      <w:r>
        <w:rPr>
          <w:rFonts w:ascii="LMRoman8" w:hAnsi="LMRoman8" w:eastAsia="LMRoman8"/>
          <w:b w:val="0"/>
          <w:i w:val="0"/>
          <w:color w:val="000000"/>
          <w:sz w:val="16"/>
        </w:rPr>
        <w:t>legal</w:t>
      </w:r>
      <w:r>
        <w:rPr>
          <w:rFonts w:ascii="LMRoman8" w:hAnsi="LMRoman8" w:eastAsia="LMRoman8"/>
          <w:b w:val="0"/>
          <w:i w:val="0"/>
          <w:color w:val="000000"/>
          <w:sz w:val="16"/>
        </w:rPr>
        <w:t>acima</w:t>
      </w:r>
      <w:r>
        <w:rPr>
          <w:rFonts w:ascii="LMRoman8" w:hAnsi="LMRoman8" w:eastAsia="LMRoman8"/>
          <w:b w:val="0"/>
          <w:i w:val="0"/>
          <w:color w:val="000000"/>
          <w:sz w:val="16"/>
        </w:rPr>
        <w:t>de</w:t>
      </w:r>
      <w:r>
        <w:rPr>
          <w:rFonts w:ascii="LMRoman8" w:hAnsi="LMRoman8" w:eastAsia="LMRoman8"/>
          <w:b w:val="0"/>
          <w:i w:val="0"/>
          <w:color w:val="000000"/>
          <w:sz w:val="16"/>
        </w:rPr>
        <w:t>limiar</w:t>
      </w:r>
      <w:r>
        <w:rPr>
          <w:rFonts w:ascii="LMRoman8" w:hAnsi="LMRoman8" w:eastAsia="LMRoman8"/>
          <w:b w:val="0"/>
          <w:i w:val="0"/>
          <w:color w:val="000000"/>
          <w:sz w:val="16"/>
        </w:rPr>
        <w:t>técnico</w:t>
      </w:r>
      <w:r>
        <w:rPr>
          <w:rFonts w:ascii="LMRoman8" w:hAnsi="LMRoman8" w:eastAsia="LMRoman8"/>
          <w:b w:val="0"/>
          <w:i w:val="0"/>
          <w:color w:val="000000"/>
          <w:sz w:val="16"/>
        </w:rPr>
        <w:t>ou</w:t>
      </w:r>
      <w:r>
        <w:rPr>
          <w:rFonts w:ascii="LMRoman8" w:hAnsi="LMRoman8" w:eastAsia="LMRoman8"/>
          <w:b w:val="0"/>
          <w:i w:val="0"/>
          <w:color w:val="000000"/>
          <w:sz w:val="16"/>
        </w:rPr>
        <w:t>normativo</w:t>
      </w:r>
    </w:p>
    <w:p>
      <w:pPr>
        <w:autoSpaceDN w:val="0"/>
        <w:autoSpaceDE w:val="0"/>
        <w:widowControl/>
        <w:spacing w:line="220" w:lineRule="exact" w:before="304" w:after="0"/>
        <w:ind w:left="1574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Figura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11.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Fluxo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candidato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para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aplicação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auditoria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protocolo</w:t>
      </w:r>
    </w:p>
    <w:p>
      <w:pPr>
        <w:autoSpaceDN w:val="0"/>
        <w:autoSpaceDE w:val="0"/>
        <w:widowControl/>
        <w:spacing w:line="290" w:lineRule="exact" w:before="316" w:after="0"/>
        <w:ind w:left="260" w:right="0" w:firstLine="352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Pesos podem ser elicitados por Delphi, AHP, BWM ou procedimento justificado somente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após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conteúdo.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agregação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declarar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grau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compensação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aceitável, e a sensibilidade deve variar pesos, limiares e tratamento de dados ausentes.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Risco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estrutural,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risco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à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vida,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incêndio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descumprimento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legal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operam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vetos: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desempenho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econômico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ambiental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favorável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compensa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violação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definido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norma, 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laudo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ou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autoridade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competente.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ciclo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vida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permanece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transversal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evitar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dupla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contagem.</w:t>
      </w:r>
    </w:p>
    <w:p>
      <w:pPr>
        <w:autoSpaceDN w:val="0"/>
        <w:autoSpaceDE w:val="0"/>
        <w:widowControl/>
        <w:spacing w:line="288" w:lineRule="exact" w:before="2" w:after="0"/>
        <w:ind w:left="260" w:right="0" w:firstLine="352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Mesmo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essa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especificação,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matriz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é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instru-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decisão.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Indicadores,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pesos,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limiares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regras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requerem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participação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institucional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reais;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contribuição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atual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é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arquitetura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rastreável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essa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validação.</w:t>
      </w:r>
    </w:p>
    <w:p>
      <w:pPr>
        <w:autoSpaceDN w:val="0"/>
        <w:tabs>
          <w:tab w:pos="1036" w:val="left"/>
        </w:tabs>
        <w:autoSpaceDE w:val="0"/>
        <w:widowControl/>
        <w:spacing w:line="344" w:lineRule="exact" w:before="478" w:after="0"/>
        <w:ind w:left="260" w:right="0" w:firstLine="0"/>
        <w:jc w:val="left"/>
      </w:pP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 xml:space="preserve">10 </w:t>
      </w:r>
      <w:r>
        <w:tab/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Discussão</w:t>
      </w:r>
    </w:p>
    <w:p>
      <w:pPr>
        <w:autoSpaceDN w:val="0"/>
        <w:tabs>
          <w:tab w:pos="1158" w:val="left"/>
        </w:tabs>
        <w:autoSpaceDE w:val="0"/>
        <w:widowControl/>
        <w:spacing w:line="286" w:lineRule="exact" w:before="296" w:after="0"/>
        <w:ind w:left="260" w:right="0" w:firstLine="0"/>
        <w:jc w:val="left"/>
      </w:pP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 xml:space="preserve">10.1 </w:t>
      </w:r>
      <w:r>
        <w:tab/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Maturidade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e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transição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do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campo</w:t>
      </w:r>
    </w:p>
    <w:p>
      <w:pPr>
        <w:autoSpaceDN w:val="0"/>
        <w:autoSpaceDE w:val="0"/>
        <w:widowControl/>
        <w:spacing w:line="290" w:lineRule="exact" w:before="142" w:after="0"/>
        <w:ind w:left="260" w:right="26" w:hanging="8"/>
        <w:jc w:val="both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literatura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converge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uma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manutenção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entendida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gestão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ativos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facilidades,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combinando desempenho, governança, ambiente, ciclo de vida, custos e usuários (NIELSEN;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SARASOJA;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GALAMBA,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2016;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OPOKU;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2022;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OKORO,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2023).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concentração</w:t>
      </w:r>
    </w:p>
    <w:p>
      <w:pPr>
        <w:autoSpaceDN w:val="0"/>
        <w:autoSpaceDE w:val="0"/>
        <w:widowControl/>
        <w:spacing w:line="238" w:lineRule="exact" w:before="364" w:after="0"/>
        <w:ind w:left="0" w:right="4478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20</w:t>
      </w:r>
    </w:p>
    <w:p>
      <w:pPr>
        <w:sectPr>
          <w:pgSz w:w="11906" w:h="16838"/>
          <w:pgMar w:top="860" w:right="1074" w:bottom="24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6"/>
        <w:ind w:left="0" w:right="0"/>
      </w:pPr>
    </w:p>
    <w:p>
      <w:pPr>
        <w:autoSpaceDN w:val="0"/>
        <w:autoSpaceDE w:val="0"/>
        <w:widowControl/>
        <w:spacing w:line="282" w:lineRule="exact" w:before="0" w:after="0"/>
        <w:ind w:left="25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84,6%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núcleo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2019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2026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crescimento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relativo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BIM,</w:t>
      </w:r>
      <w:r>
        <w:rPr>
          <w:rFonts w:ascii="LMRoman12" w:hAnsi="LMRoman12" w:eastAsia="LMRoman12"/>
          <w:b w:val="0"/>
          <w:i/>
          <w:color w:val="000000"/>
          <w:sz w:val="24"/>
        </w:rPr>
        <w:t>digital</w:t>
      </w:r>
      <w:r>
        <w:rPr>
          <w:rFonts w:ascii="LMRoman12" w:hAnsi="LMRoman12" w:eastAsia="LMRoman12"/>
          <w:b w:val="0"/>
          <w:i/>
          <w:color w:val="000000"/>
          <w:sz w:val="24"/>
        </w:rPr>
        <w:t>twin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carbono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avaliação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ciclo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indicam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mudança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vocabulário,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causalidade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substituição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temas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tradicionais.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conecta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BIM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gestão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facilidades,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manutenção preditiva,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operação e desempenho;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as leituras integrais sintetizadas na Seção 7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qualificam essa conexão (DENG;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MENASSA;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KAMAT, 2021;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ESPINOSA GISPERT et al.,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2025;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GORETTI;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KAMING,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2023).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campo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avança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capacidade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informacional,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permanece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heterogêneo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maturidade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validação.</w:t>
      </w:r>
    </w:p>
    <w:p>
      <w:pPr>
        <w:autoSpaceDN w:val="0"/>
        <w:tabs>
          <w:tab w:pos="1158" w:val="left"/>
        </w:tabs>
        <w:autoSpaceDE w:val="0"/>
        <w:widowControl/>
        <w:spacing w:line="286" w:lineRule="exact" w:before="418" w:after="0"/>
        <w:ind w:left="260" w:right="0" w:firstLine="0"/>
        <w:jc w:val="left"/>
      </w:pP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 xml:space="preserve">10.2 </w:t>
      </w:r>
      <w:r>
        <w:tab/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Lacuna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entre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estrutura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e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decisão</w:t>
      </w:r>
    </w:p>
    <w:p>
      <w:pPr>
        <w:autoSpaceDN w:val="0"/>
        <w:autoSpaceDE w:val="0"/>
        <w:widowControl/>
        <w:spacing w:line="288" w:lineRule="exact" w:before="142" w:after="0"/>
        <w:ind w:left="252" w:right="58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presença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/>
          <w:color w:val="00000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núcleo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contrasta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menor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frequência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AHP, TOPSIS, ANP, Delphi e MCDM. Propor uma estrutura ou mencionar apoio à decisão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equivale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definir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indicadores,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normalizar,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ponderar,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agregar,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sensibilidade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validar.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Aplicações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edifícios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educacionais,</w:t>
      </w:r>
      <w:r>
        <w:rPr>
          <w:rFonts w:ascii="LMRoman12" w:hAnsi="LMRoman12" w:eastAsia="LMRoman12"/>
          <w:b w:val="0"/>
          <w:i/>
          <w:color w:val="000000"/>
          <w:sz w:val="24"/>
        </w:rPr>
        <w:t>campus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manutenção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pública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demonstram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funções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específicas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métodos,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operacionalizações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parciais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identificadas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leituras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integrais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(ALFALAH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2022;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NAJI;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GUNDUZ;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MAKI,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2023;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MASMOUDI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2026;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KIM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2018;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NÄGELI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2019;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FERREIRA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2020).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lacuna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central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é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ausência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critérios,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falta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cadeia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evidência,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variável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mensurável,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preferência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institucional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decisão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validada.</w:t>
      </w:r>
    </w:p>
    <w:p>
      <w:pPr>
        <w:autoSpaceDN w:val="0"/>
        <w:tabs>
          <w:tab w:pos="1158" w:val="left"/>
        </w:tabs>
        <w:autoSpaceDE w:val="0"/>
        <w:widowControl/>
        <w:spacing w:line="286" w:lineRule="exact" w:before="418" w:after="0"/>
        <w:ind w:left="260" w:right="0" w:firstLine="0"/>
        <w:jc w:val="left"/>
      </w:pP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 xml:space="preserve">10.3 </w:t>
      </w:r>
      <w:r>
        <w:tab/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Especificidade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pública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universitária</w:t>
      </w:r>
    </w:p>
    <w:p>
      <w:pPr>
        <w:autoSpaceDN w:val="0"/>
        <w:tabs>
          <w:tab w:pos="254" w:val="left"/>
          <w:tab w:pos="260" w:val="left"/>
        </w:tabs>
        <w:autoSpaceDE w:val="0"/>
        <w:widowControl/>
        <w:spacing w:line="290" w:lineRule="exact" w:before="144" w:after="0"/>
        <w:ind w:left="23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Universidades,</w:t>
      </w:r>
      <w:r>
        <w:rPr>
          <w:rFonts w:ascii="LMRoman12" w:hAnsi="LMRoman12" w:eastAsia="LMRoman12"/>
          <w:b w:val="0"/>
          <w:i/>
          <w:color w:val="000000"/>
          <w:sz w:val="24"/>
        </w:rPr>
        <w:t>campus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edifícios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públicos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representam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parcelas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menores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edificações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genéricas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portfólios.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Nesses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contextos,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diversidade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usuários,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continuidade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acadêmica,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orçamento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governança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impedem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reduzir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prioridade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condição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física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(AWUZIE;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ISA,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2017;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NDUKUBA,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2025).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Ordens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serviço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séries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custos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apoiam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diagnóstico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previsão,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possuam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cadastro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consistente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vínculo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ativos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intervenções 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(MARTINS;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ESPEJO,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2024;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MORAIS;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PAULA;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REIS,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2023).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baixa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presença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lexical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ODS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ESG,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apesar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recorrência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energia,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emissões,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segurança,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conforto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governança, 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sugere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adoção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substantiva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sem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linguagem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operacional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explícita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(RAMANTSWANA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 xml:space="preserve">al.,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2026).</w:t>
      </w:r>
    </w:p>
    <w:p>
      <w:pPr>
        <w:autoSpaceDN w:val="0"/>
        <w:tabs>
          <w:tab w:pos="1158" w:val="left"/>
        </w:tabs>
        <w:autoSpaceDE w:val="0"/>
        <w:widowControl/>
        <w:spacing w:line="288" w:lineRule="exact" w:before="416" w:after="0"/>
        <w:ind w:left="260" w:right="0" w:firstLine="0"/>
        <w:jc w:val="left"/>
      </w:pP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 xml:space="preserve">10.4 </w:t>
      </w:r>
      <w:r>
        <w:tab/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Contribuição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do</w:t>
      </w:r>
      <w:r>
        <w:rPr>
          <w:w w:val="98.93931027116447"/>
          <w:rFonts w:ascii="LMRoman12" w:hAnsi="LMRoman12" w:eastAsia="LMRoman12"/>
          <w:b/>
          <w:i w:val="0"/>
          <w:color w:val="000000"/>
          <w:sz w:val="29"/>
        </w:rPr>
        <w:t>protocolo</w:t>
      </w:r>
    </w:p>
    <w:p>
      <w:pPr>
        <w:autoSpaceDN w:val="0"/>
        <w:autoSpaceDE w:val="0"/>
        <w:widowControl/>
        <w:spacing w:line="288" w:lineRule="exact" w:before="144" w:after="0"/>
        <w:ind w:left="25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protocolo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preenche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dessa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lacuna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elemento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candidato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evidência 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bibliométrica,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síntese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temática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leitura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integral.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rastreabilidade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explica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desem-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penho,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informação,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condição,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conformidade,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custo,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energia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usuários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escolhidos,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enquanto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fluxograma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conteúdo,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qualidade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dados,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ponderação,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sensibilidade.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gestão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pública,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está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apenas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ordenamento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final,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verificável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fonte,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unidade,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periodicidade,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regras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aplicadas.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impedem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risco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ilegalidade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sejam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compensados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vantagens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econômicas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ambientais.</w:t>
      </w:r>
    </w:p>
    <w:p>
      <w:pPr>
        <w:autoSpaceDN w:val="0"/>
        <w:autoSpaceDE w:val="0"/>
        <w:widowControl/>
        <w:spacing w:line="288" w:lineRule="exact" w:before="2" w:after="0"/>
        <w:ind w:left="260" w:right="0" w:firstLine="352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Essa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contribuição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permanece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propositiva.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Coocorrências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estimam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causalidade,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importância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peso;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categorias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amplas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podem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reunir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estudos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diferentes;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desenhos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conceituais,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revisões,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estudos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quantitativos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oferecem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força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evidência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equivalente.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avaliação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metodológica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integral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104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teste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institucional, não se recomenda superioridade de método, critério ou tecnologia.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 produto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é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arquitetura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auditável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validação,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prioridade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pronta.</w:t>
      </w:r>
    </w:p>
    <w:p>
      <w:pPr>
        <w:autoSpaceDN w:val="0"/>
        <w:autoSpaceDE w:val="0"/>
        <w:widowControl/>
        <w:spacing w:line="238" w:lineRule="exact" w:before="602" w:after="0"/>
        <w:ind w:left="0" w:right="4478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21</w:t>
      </w:r>
    </w:p>
    <w:p>
      <w:pPr>
        <w:sectPr>
          <w:pgSz w:w="11906" w:h="16838"/>
          <w:pgMar w:top="876" w:right="1074" w:bottom="24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276" w:lineRule="exact" w:before="0" w:after="0"/>
        <w:ind w:left="260" w:right="60" w:firstLine="352"/>
        <w:jc w:val="both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O avanço requer validar conteúdo antes de pesos, integrar dados administrativos, elicitar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preferências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participação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institucional,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sensibilidade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resultados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unidades.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Essa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sequência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transforma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síntese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governança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manutenção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sem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atribuir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protocolo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ainda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demonstrada.</w:t>
      </w:r>
    </w:p>
    <w:p>
      <w:pPr>
        <w:autoSpaceDN w:val="0"/>
        <w:tabs>
          <w:tab w:pos="1036" w:val="left"/>
        </w:tabs>
        <w:autoSpaceDE w:val="0"/>
        <w:widowControl/>
        <w:spacing w:line="344" w:lineRule="exact" w:before="478" w:after="0"/>
        <w:ind w:left="260" w:right="0" w:firstLine="0"/>
        <w:jc w:val="left"/>
      </w:pP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 xml:space="preserve">11 </w:t>
      </w:r>
      <w:r>
        <w:tab/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Limitações</w:t>
      </w:r>
    </w:p>
    <w:p>
      <w:pPr>
        <w:autoSpaceDN w:val="0"/>
        <w:autoSpaceDE w:val="0"/>
        <w:widowControl/>
        <w:spacing w:line="288" w:lineRule="exact" w:before="214" w:after="0"/>
        <w:ind w:left="26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Cobertura</w:t>
      </w:r>
      <w:r>
        <w:rPr>
          <w:rFonts w:ascii="LMRoman12" w:hAnsi="LMRoman12" w:eastAsia="LMRoman12"/>
          <w:b/>
          <w:i w:val="0"/>
          <w:color w:val="000000"/>
          <w:sz w:val="24"/>
        </w:rPr>
        <w:t>e</w:t>
      </w:r>
      <w:r>
        <w:rPr>
          <w:rFonts w:ascii="LMRoman12" w:hAnsi="LMRoman12" w:eastAsia="LMRoman12"/>
          <w:b/>
          <w:i w:val="0"/>
          <w:color w:val="000000"/>
          <w:sz w:val="24"/>
        </w:rPr>
        <w:t>seleção.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2026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é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parcial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índices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podem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mudar.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houve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pré-registro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público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protocolo.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Também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realizadas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busca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citações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para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frente ou para trás nem busca estruturada de literatura cinzenta, e a cobertura permaneceu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condicionada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às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fontes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metadados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indexados.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decisões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triagem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codificação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foram conduzidas por um único avaliador,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sem segundo revisor independente e sem medida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concordância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interavaliadores;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presença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lexical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equivale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variável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mensurada, 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critério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aplicado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ou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resultado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empírico,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ODS,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SDG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ESG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podem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estar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ausentes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 xml:space="preserve">mesmo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componentes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aparecem.</w:t>
      </w:r>
    </w:p>
    <w:p>
      <w:pPr>
        <w:autoSpaceDN w:val="0"/>
        <w:autoSpaceDE w:val="0"/>
        <w:widowControl/>
        <w:spacing w:line="288" w:lineRule="exact" w:before="0" w:after="0"/>
        <w:ind w:left="260" w:right="0" w:firstLine="352"/>
        <w:jc w:val="left"/>
      </w:pPr>
      <w:r>
        <w:rPr>
          <w:w w:val="98.725954691569"/>
          <w:rFonts w:ascii="LMRoman12" w:hAnsi="LMRoman12" w:eastAsia="LMRoman12"/>
          <w:b/>
          <w:i w:val="0"/>
          <w:color w:val="000000"/>
          <w:sz w:val="24"/>
        </w:rPr>
        <w:t>Extração</w:t>
      </w:r>
      <w:r>
        <w:rPr>
          <w:w w:val="98.725954691569"/>
          <w:rFonts w:ascii="LMRoman12" w:hAnsi="LMRoman12" w:eastAsia="LMRoman12"/>
          <w:b/>
          <w:i w:val="0"/>
          <w:color w:val="000000"/>
          <w:sz w:val="24"/>
        </w:rPr>
        <w:t>e</w:t>
      </w:r>
      <w:r>
        <w:rPr>
          <w:w w:val="98.725954691569"/>
          <w:rFonts w:ascii="LMRoman12" w:hAnsi="LMRoman12" w:eastAsia="LMRoman12"/>
          <w:b/>
          <w:i w:val="0"/>
          <w:color w:val="000000"/>
          <w:sz w:val="24"/>
        </w:rPr>
        <w:t>força</w:t>
      </w:r>
      <w:r>
        <w:rPr>
          <w:w w:val="98.725954691569"/>
          <w:rFonts w:ascii="LMRoman12" w:hAnsi="LMRoman12" w:eastAsia="LMRoman12"/>
          <w:b/>
          <w:i w:val="0"/>
          <w:color w:val="000000"/>
          <w:sz w:val="24"/>
        </w:rPr>
        <w:t>de</w:t>
      </w:r>
      <w:r>
        <w:rPr>
          <w:w w:val="98.725954691569"/>
          <w:rFonts w:ascii="LMRoman12" w:hAnsi="LMRoman12" w:eastAsia="LMRoman12"/>
          <w:b/>
          <w:i w:val="0"/>
          <w:color w:val="000000"/>
          <w:sz w:val="24"/>
        </w:rPr>
        <w:t>evidência.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núcleo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104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não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foi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submetido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integralmente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elegibilidade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extração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completo.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Trinta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estudos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PDF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disponível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foram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posteriormente lidos em tarefas pontuais e 14 forneceram evidências específicas.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 unidade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 análise quantitativa é o registro bibliográfico consolidado.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Ela não garante independência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entre publicações relacionadas nem representa força de evidência acumulada; a classificação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desenho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deixou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23,1%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suficiente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nenhum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instrumento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risco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viés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foi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aplicado,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impede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qualidade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metodológica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recomendar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superioridade.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Na camada bibliométrica, a incompletude de autores e a ausência de afiliações e referências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citadas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impediram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colaboração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acoplamento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bibliográfico,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demais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medidas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permanecem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explorações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documentais.</w:t>
      </w:r>
    </w:p>
    <w:p>
      <w:pPr>
        <w:autoSpaceDN w:val="0"/>
        <w:autoSpaceDE w:val="0"/>
        <w:widowControl/>
        <w:spacing w:line="288" w:lineRule="exact" w:before="0" w:after="0"/>
        <w:ind w:left="260" w:right="0" w:firstLine="352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Protocolo.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Indicadores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regras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especificação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operacional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candidata: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pesos,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limiares,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agregação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sensibilidade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ainda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executados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reais,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permanecendo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dependentes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conteúdo,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participação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institucional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robustez.</w:t>
      </w:r>
    </w:p>
    <w:p>
      <w:pPr>
        <w:autoSpaceDN w:val="0"/>
        <w:tabs>
          <w:tab w:pos="1036" w:val="left"/>
        </w:tabs>
        <w:autoSpaceDE w:val="0"/>
        <w:widowControl/>
        <w:spacing w:line="346" w:lineRule="exact" w:before="478" w:after="0"/>
        <w:ind w:left="260" w:right="0" w:firstLine="0"/>
        <w:jc w:val="left"/>
      </w:pP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 xml:space="preserve">12 </w:t>
      </w:r>
      <w:r>
        <w:tab/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Considerações</w:t>
      </w: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finais</w:t>
      </w:r>
    </w:p>
    <w:p>
      <w:pPr>
        <w:autoSpaceDN w:val="0"/>
        <w:autoSpaceDE w:val="0"/>
        <w:widowControl/>
        <w:spacing w:line="290" w:lineRule="exact" w:before="210" w:after="0"/>
        <w:ind w:left="260" w:right="0" w:hanging="8"/>
        <w:jc w:val="left"/>
      </w:pP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pergunta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central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foi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respondida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três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níveis.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mapeamento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bibliométrico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identificou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transição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eficiência,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desempenho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edificações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BIM,</w:t>
      </w:r>
      <w:r>
        <w:rPr>
          <w:rFonts w:ascii="LMRoman12" w:hAnsi="LMRoman12" w:eastAsia="LMRoman12"/>
          <w:b w:val="0"/>
          <w:i/>
          <w:color w:val="000000"/>
          <w:sz w:val="24"/>
        </w:rPr>
        <w:t>digital</w:t>
      </w:r>
      <w:r>
        <w:rPr>
          <w:rFonts w:ascii="LMRoman12" w:hAnsi="LMRoman12" w:eastAsia="LMRoman12"/>
          <w:b w:val="0"/>
          <w:i/>
          <w:color w:val="000000"/>
          <w:sz w:val="24"/>
        </w:rPr>
        <w:t>twins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carbono,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ciclo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manutenção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preditiva.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síntese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temática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mostrou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dimensões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técnica-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operacional,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institucional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ambiental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critérios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desempenho,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informação,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custo,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vida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útil,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energia e risco formam o núcleo documental.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 integração fundamentou um protocolo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evidência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bibliográfica,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indicador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operacional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escolha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normativa.</w:t>
      </w:r>
    </w:p>
    <w:p>
      <w:pPr>
        <w:autoSpaceDN w:val="0"/>
        <w:tabs>
          <w:tab w:pos="260" w:val="left"/>
          <w:tab w:pos="612" w:val="left"/>
        </w:tabs>
        <w:autoSpaceDE w:val="0"/>
        <w:widowControl/>
        <w:spacing w:line="288" w:lineRule="exact" w:before="0" w:after="0"/>
        <w:ind w:left="234" w:right="0" w:firstLine="0"/>
        <w:jc w:val="left"/>
      </w:pP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identificadas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dimensões,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critérios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abordagens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decisórias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heterogêneas.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Estruturas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genéricas,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BIM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apoio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decisão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frequentes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métodos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multicri-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tério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nomeados.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Edificações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genéricas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portfólios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predominaram;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universidades,</w:t>
      </w:r>
      <w:r>
        <w:rPr>
          <w:w w:val="98.67567221323648"/>
          <w:rFonts w:ascii="LMRoman12" w:hAnsi="LMRoman12" w:eastAsia="LMRoman12"/>
          <w:b w:val="0"/>
          <w:i/>
          <w:color w:val="000000"/>
          <w:sz w:val="24"/>
        </w:rPr>
        <w:t>campus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 xml:space="preserve">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edifícios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públicos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menos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frequentes,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apresentaram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lacunas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específicas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instituições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públicas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ensino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superior.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apareceu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não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apareceu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campos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auditados,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embora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componentes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substantivos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fossem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recorrentes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(MASMOUDI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2026;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RAMANTSWANA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2026).</w:t>
      </w:r>
    </w:p>
    <w:p>
      <w:pPr>
        <w:autoSpaceDN w:val="0"/>
        <w:tabs>
          <w:tab w:pos="612" w:val="left"/>
        </w:tabs>
        <w:autoSpaceDE w:val="0"/>
        <w:widowControl/>
        <w:spacing w:line="288" w:lineRule="exact" w:before="0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contribuição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é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matriz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analítica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conceitual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informada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síntese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literatura,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convertida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protocolo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operacional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candidato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rastreável.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proposta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evidências</w:t>
      </w:r>
    </w:p>
    <w:p>
      <w:pPr>
        <w:autoSpaceDN w:val="0"/>
        <w:autoSpaceDE w:val="0"/>
        <w:widowControl/>
        <w:spacing w:line="238" w:lineRule="exact" w:before="496" w:after="0"/>
        <w:ind w:left="0" w:right="448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22</w:t>
      </w:r>
    </w:p>
    <w:p>
      <w:pPr>
        <w:sectPr>
          <w:pgSz w:w="11906" w:h="16838"/>
          <w:pgMar w:top="878" w:right="1068" w:bottom="24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6"/>
        <w:ind w:left="0" w:right="0"/>
      </w:pPr>
    </w:p>
    <w:p>
      <w:pPr>
        <w:autoSpaceDN w:val="0"/>
        <w:autoSpaceDE w:val="0"/>
        <w:widowControl/>
        <w:spacing w:line="278" w:lineRule="exact" w:before="0" w:after="0"/>
        <w:ind w:left="260" w:right="66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indicadores,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fontes,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periodicidade,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preferência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regras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veto,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pesos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limiares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remetidos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à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validação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institucional.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Este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protocolo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não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resolve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escassez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recursos,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mas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oferece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caminho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transparente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justificar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serão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aplicados,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transformando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priorização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manutenção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governança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auditável.</w:t>
      </w:r>
    </w:p>
    <w:p>
      <w:pPr>
        <w:autoSpaceDN w:val="0"/>
        <w:autoSpaceDE w:val="0"/>
        <w:widowControl/>
        <w:spacing w:line="240" w:lineRule="exact" w:before="48" w:after="0"/>
        <w:ind w:left="612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implementação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permanece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organizada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quatro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etapas:</w:t>
      </w:r>
    </w:p>
    <w:p>
      <w:pPr>
        <w:autoSpaceDN w:val="0"/>
        <w:autoSpaceDE w:val="0"/>
        <w:widowControl/>
        <w:spacing w:line="288" w:lineRule="exact" w:before="260" w:after="0"/>
        <w:ind w:left="846" w:right="0" w:hanging="30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1.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Validação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de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conteúdo,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0–6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meses: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painel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manutenção,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engenharia,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sustenta-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bilidade,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planejamento,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orçamento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usuários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revisa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dimensões,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indicadores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vetos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pesos.</w:t>
      </w:r>
    </w:p>
    <w:p>
      <w:pPr>
        <w:autoSpaceDN w:val="0"/>
        <w:tabs>
          <w:tab w:pos="846" w:val="left"/>
        </w:tabs>
        <w:autoSpaceDE w:val="0"/>
        <w:widowControl/>
        <w:spacing w:line="288" w:lineRule="exact" w:before="200" w:after="0"/>
        <w:ind w:left="54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Integração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de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dados,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6–12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meses: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ordens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serviço,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inspeções,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custos,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consumo,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riscos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reclamações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recebem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dicionário,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periodicidade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responsáveis.</w:t>
      </w:r>
    </w:p>
    <w:p>
      <w:pPr>
        <w:autoSpaceDN w:val="0"/>
        <w:tabs>
          <w:tab w:pos="846" w:val="left"/>
        </w:tabs>
        <w:autoSpaceDE w:val="0"/>
        <w:widowControl/>
        <w:spacing w:line="288" w:lineRule="exact" w:before="202" w:after="0"/>
        <w:ind w:left="54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3.</w:t>
      </w:r>
      <w:r>
        <w:rPr>
          <w:rFonts w:ascii="LMRoman12" w:hAnsi="LMRoman12" w:eastAsia="LMRoman12"/>
          <w:b/>
          <w:i w:val="0"/>
          <w:color w:val="000000"/>
          <w:sz w:val="24"/>
        </w:rPr>
        <w:t>Ponderação</w:t>
      </w:r>
      <w:r>
        <w:rPr>
          <w:rFonts w:ascii="LMRoman12" w:hAnsi="LMRoman12" w:eastAsia="LMRoman12"/>
          <w:b/>
          <w:i w:val="0"/>
          <w:color w:val="000000"/>
          <w:sz w:val="24"/>
        </w:rPr>
        <w:t>e</w:t>
      </w:r>
      <w:r>
        <w:rPr>
          <w:rFonts w:ascii="LMRoman12" w:hAnsi="LMRoman12" w:eastAsia="LMRoman12"/>
          <w:b/>
          <w:i w:val="0"/>
          <w:color w:val="000000"/>
          <w:sz w:val="24"/>
        </w:rPr>
        <w:t>protótipo,</w:t>
      </w:r>
      <w:r>
        <w:rPr>
          <w:rFonts w:ascii="LMRoman12" w:hAnsi="LMRoman12" w:eastAsia="LMRoman12"/>
          <w:b/>
          <w:i w:val="0"/>
          <w:color w:val="000000"/>
          <w:sz w:val="24"/>
        </w:rPr>
        <w:t>12–18</w:t>
      </w:r>
      <w:r>
        <w:rPr>
          <w:rFonts w:ascii="LMRoman12" w:hAnsi="LMRoman12" w:eastAsia="LMRoman12"/>
          <w:b/>
          <w:i w:val="0"/>
          <w:color w:val="000000"/>
          <w:sz w:val="24"/>
        </w:rPr>
        <w:t>meses: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método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elicitação,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painel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auditável,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casos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retrospectivos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sensibilidade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pesos,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limiares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ausentes.</w:t>
      </w:r>
    </w:p>
    <w:p>
      <w:pPr>
        <w:autoSpaceDN w:val="0"/>
        <w:tabs>
          <w:tab w:pos="846" w:val="left"/>
        </w:tabs>
        <w:autoSpaceDE w:val="0"/>
        <w:widowControl/>
        <w:spacing w:line="290" w:lineRule="exact" w:before="198" w:after="0"/>
        <w:ind w:left="54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4.</w:t>
      </w:r>
      <w:r>
        <w:rPr>
          <w:rFonts w:ascii="LMRoman12" w:hAnsi="LMRoman12" w:eastAsia="LMRoman12"/>
          <w:b/>
          <w:i w:val="0"/>
          <w:color w:val="000000"/>
          <w:sz w:val="24"/>
        </w:rPr>
        <w:t>Validação</w:t>
      </w:r>
      <w:r>
        <w:rPr>
          <w:rFonts w:ascii="LMRoman12" w:hAnsi="LMRoman12" w:eastAsia="LMRoman12"/>
          <w:b/>
          <w:i w:val="0"/>
          <w:color w:val="000000"/>
          <w:sz w:val="24"/>
        </w:rPr>
        <w:t>multicampi,</w:t>
      </w:r>
      <w:r>
        <w:rPr>
          <w:rFonts w:ascii="LMRoman12" w:hAnsi="LMRoman12" w:eastAsia="LMRoman12"/>
          <w:b/>
          <w:i w:val="0"/>
          <w:color w:val="000000"/>
          <w:sz w:val="24"/>
        </w:rPr>
        <w:t>18–24</w:t>
      </w:r>
      <w:r>
        <w:rPr>
          <w:rFonts w:ascii="LMRoman12" w:hAnsi="LMRoman12" w:eastAsia="LMRoman12"/>
          <w:b/>
          <w:i w:val="0"/>
          <w:color w:val="000000"/>
          <w:sz w:val="24"/>
        </w:rPr>
        <w:t>meses: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unidades,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estabilidade,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utilidade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decisória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transferência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portfólios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públicos.</w:t>
      </w:r>
    </w:p>
    <w:p>
      <w:pPr>
        <w:autoSpaceDN w:val="0"/>
        <w:autoSpaceDE w:val="0"/>
        <w:widowControl/>
        <w:spacing w:line="288" w:lineRule="exact" w:before="260" w:after="0"/>
        <w:ind w:left="260" w:right="64" w:firstLine="35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funciona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capítulo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científica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do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produto.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Uma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futura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versão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artigo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pode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deslocar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rastreabilidade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extensa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material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suplementar,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preservando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pergunta,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método,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bibliométricos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temáticos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protocolo.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Até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validação,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contribuição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é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reproduzível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operacionalmente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especificada,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classificação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pronta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investimento.</w:t>
      </w:r>
    </w:p>
    <w:p>
      <w:pPr>
        <w:autoSpaceDN w:val="0"/>
        <w:autoSpaceDE w:val="0"/>
        <w:widowControl/>
        <w:spacing w:line="344" w:lineRule="exact" w:before="478" w:after="0"/>
        <w:ind w:left="260" w:right="0" w:firstLine="0"/>
        <w:jc w:val="left"/>
      </w:pPr>
      <w:r>
        <w:rPr>
          <w:w w:val="101.26706291647518"/>
          <w:rFonts w:ascii="LMRoman12" w:hAnsi="LMRoman12" w:eastAsia="LMRoman12"/>
          <w:b/>
          <w:i w:val="0"/>
          <w:color w:val="000000"/>
          <w:sz w:val="34"/>
        </w:rPr>
        <w:t>Referências</w:t>
      </w:r>
    </w:p>
    <w:p>
      <w:pPr>
        <w:autoSpaceDN w:val="0"/>
        <w:autoSpaceDE w:val="0"/>
        <w:widowControl/>
        <w:spacing w:line="296" w:lineRule="exact" w:before="208" w:after="0"/>
        <w:ind w:left="260" w:right="66" w:firstLine="0"/>
        <w:jc w:val="both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ALDAIRI,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Jasim;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KHAN,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K.;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MUNIVE-HERNANDEZ,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J.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Eduardo.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Knowledge-based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Lean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Six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Sigma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maintenance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system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sustainable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buildings.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International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Journal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 xml:space="preserve">of </w:t>
      </w:r>
      <w:r>
        <w:rPr>
          <w:rFonts w:ascii="LMRoman12" w:hAnsi="LMRoman12" w:eastAsia="LMRoman12"/>
          <w:b/>
          <w:i w:val="0"/>
          <w:color w:val="000000"/>
          <w:sz w:val="24"/>
        </w:rPr>
        <w:t>Lean</w:t>
      </w:r>
      <w:r>
        <w:rPr>
          <w:rFonts w:ascii="LMRoman12" w:hAnsi="LMRoman12" w:eastAsia="LMRoman12"/>
          <w:b/>
          <w:i w:val="0"/>
          <w:color w:val="000000"/>
          <w:sz w:val="24"/>
        </w:rPr>
        <w:t>Six</w:t>
      </w:r>
      <w:r>
        <w:rPr>
          <w:rFonts w:ascii="LMRoman12" w:hAnsi="LMRoman12" w:eastAsia="LMRoman12"/>
          <w:b/>
          <w:i w:val="0"/>
          <w:color w:val="000000"/>
          <w:sz w:val="24"/>
        </w:rPr>
        <w:t>Sigma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8,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109–130,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2017.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DOI:</w:t>
      </w:r>
      <w:r>
        <w:rPr>
          <w:rFonts w:ascii="LMMono12" w:hAnsi="LMMono12" w:eastAsia="LMMono12"/>
          <w:b w:val="0"/>
          <w:i w:val="0"/>
          <w:color w:val="0000FF"/>
          <w:sz w:val="24"/>
        </w:rPr>
        <w:hyperlink r:id="rId61" w:history="1">
          <w:r>
            <w:rPr>
              <w:rStyle w:val="Hyperlink"/>
            </w:rPr>
            <w:t>10.1108/IJLSS-09-2015-0035</w:t>
          </w:r>
        </w:hyperlink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94" w:lineRule="exact" w:before="84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ALFALAH,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Ghasan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integrated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fuzzy-based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sustainability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for 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post-secondary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educational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buildings: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user-perspective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approach.</w:t>
      </w:r>
      <w:r>
        <w:rPr>
          <w:w w:val="98.92682234446207"/>
          <w:rFonts w:ascii="LMRoman12" w:hAnsi="LMRoman12" w:eastAsia="LMRoman12"/>
          <w:b/>
          <w:i w:val="0"/>
          <w:color w:val="000000"/>
          <w:sz w:val="24"/>
        </w:rPr>
        <w:t>Sustainability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v.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 xml:space="preserve">14,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16,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9955,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2022.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DOI:</w:t>
      </w:r>
      <w:r>
        <w:rPr>
          <w:rFonts w:ascii="LMMono12" w:hAnsi="LMMono12" w:eastAsia="LMMono12"/>
          <w:b w:val="0"/>
          <w:i w:val="0"/>
          <w:color w:val="0000FF"/>
          <w:sz w:val="24"/>
        </w:rPr>
        <w:hyperlink r:id="rId62" w:history="1">
          <w:r>
            <w:rPr>
              <w:rStyle w:val="Hyperlink"/>
            </w:rPr>
            <w:t>10.3390/su14169955</w:t>
          </w:r>
        </w:hyperlink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92" w:lineRule="exact" w:before="86" w:after="0"/>
        <w:ind w:left="254" w:right="86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ALIU,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Abdulmalik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Adozuka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Barriers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digital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transformation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facilities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management: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insights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developing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country.</w:t>
      </w:r>
      <w:r>
        <w:rPr>
          <w:rFonts w:ascii="LMRoman12" w:hAnsi="LMRoman12" w:eastAsia="LMRoman12"/>
          <w:b/>
          <w:i w:val="0"/>
          <w:color w:val="000000"/>
          <w:sz w:val="24"/>
        </w:rPr>
        <w:t>Journal</w:t>
      </w:r>
      <w:r>
        <w:rPr>
          <w:rFonts w:ascii="LMRoman12" w:hAnsi="LMRoman12" w:eastAsia="LMRoman12"/>
          <w:b/>
          <w:i w:val="0"/>
          <w:color w:val="000000"/>
          <w:sz w:val="24"/>
        </w:rPr>
        <w:t>of</w:t>
      </w:r>
      <w:r>
        <w:rPr>
          <w:rFonts w:ascii="LMRoman12" w:hAnsi="LMRoman12" w:eastAsia="LMRoman12"/>
          <w:b/>
          <w:i w:val="0"/>
          <w:color w:val="000000"/>
          <w:sz w:val="24"/>
        </w:rPr>
        <w:t>Construction</w:t>
      </w:r>
      <w:r>
        <w:rPr>
          <w:rFonts w:ascii="LMRoman12" w:hAnsi="LMRoman12" w:eastAsia="LMRoman12"/>
          <w:b/>
          <w:i w:val="0"/>
          <w:color w:val="000000"/>
          <w:sz w:val="24"/>
        </w:rPr>
        <w:t xml:space="preserve">in </w:t>
      </w:r>
      <w:r>
        <w:rPr>
          <w:rFonts w:ascii="LMRoman12" w:hAnsi="LMRoman12" w:eastAsia="LMRoman12"/>
          <w:b/>
          <w:i w:val="0"/>
          <w:color w:val="000000"/>
          <w:sz w:val="24"/>
        </w:rPr>
        <w:t>Developing</w:t>
      </w:r>
      <w:r>
        <w:rPr>
          <w:rFonts w:ascii="LMRoman12" w:hAnsi="LMRoman12" w:eastAsia="LMRoman12"/>
          <w:b/>
          <w:i w:val="0"/>
          <w:color w:val="000000"/>
          <w:sz w:val="24"/>
        </w:rPr>
        <w:t>Countries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30,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137–168,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2025.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DOI: </w:t>
      </w:r>
      <w:r>
        <w:br/>
      </w:r>
      <w:r>
        <w:rPr>
          <w:rFonts w:ascii="LMMono12" w:hAnsi="LMMono12" w:eastAsia="LMMono12"/>
          <w:b w:val="0"/>
          <w:i w:val="0"/>
          <w:color w:val="0000FF"/>
          <w:sz w:val="24"/>
        </w:rPr>
        <w:hyperlink r:id="rId63" w:history="1">
          <w:r>
            <w:rPr>
              <w:rStyle w:val="Hyperlink"/>
            </w:rPr>
            <w:t>10.21315/jcdc.2025.30.2.6</w:t>
          </w:r>
        </w:hyperlink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94" w:lineRule="exact" w:before="84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ARAÚJO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NETO,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Paschoal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Gavazza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manutenção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edificações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públicas,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estudo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sobre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legislação.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E&amp;S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Engineering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Science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3,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1,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85–93,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2015.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DOI:</w:t>
      </w:r>
      <w:r>
        <w:rPr>
          <w:rFonts w:ascii="LMMono12" w:hAnsi="LMMono12" w:eastAsia="LMMono12"/>
          <w:b w:val="0"/>
          <w:i w:val="0"/>
          <w:color w:val="0000FF"/>
          <w:sz w:val="24"/>
        </w:rPr>
        <w:hyperlink r:id="rId64" w:history="1">
          <w:r>
            <w:rPr>
              <w:rStyle w:val="Hyperlink"/>
            </w:rPr>
            <w:t>10.18607/ES201532557</w:t>
          </w:r>
        </w:hyperlink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88" w:after="0"/>
        <w:ind w:left="254" w:right="66" w:firstLine="0"/>
        <w:jc w:val="both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ASSOCIAÇÃO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BRASILEIRA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NORMAS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TÉCNICAS.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NBR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5674: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manutenção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/>
          <w:i w:val="0"/>
          <w:color w:val="000000"/>
          <w:sz w:val="24"/>
        </w:rPr>
        <w:t>edificações,</w:t>
      </w:r>
      <w:r>
        <w:rPr>
          <w:rFonts w:ascii="LMRoman12" w:hAnsi="LMRoman12" w:eastAsia="LMRoman12"/>
          <w:b/>
          <w:i w:val="0"/>
          <w:color w:val="000000"/>
          <w:sz w:val="24"/>
        </w:rPr>
        <w:t>requisitos</w:t>
      </w:r>
      <w:r>
        <w:rPr>
          <w:rFonts w:ascii="LMRoman12" w:hAnsi="LMRoman12" w:eastAsia="LMRoman12"/>
          <w:b/>
          <w:i w:val="0"/>
          <w:color w:val="000000"/>
          <w:sz w:val="24"/>
        </w:rPr>
        <w:t>para</w:t>
      </w:r>
      <w:r>
        <w:rPr>
          <w:rFonts w:ascii="LMRoman12" w:hAnsi="LMRoman12" w:eastAsia="LMRoman12"/>
          <w:b/>
          <w:i w:val="0"/>
          <w:color w:val="000000"/>
          <w:sz w:val="24"/>
        </w:rPr>
        <w:t>o</w:t>
      </w:r>
      <w:r>
        <w:rPr>
          <w:rFonts w:ascii="LMRoman12" w:hAnsi="LMRoman12" w:eastAsia="LMRoman12"/>
          <w:b/>
          <w:i w:val="0"/>
          <w:color w:val="000000"/>
          <w:sz w:val="24"/>
        </w:rPr>
        <w:t>sistema</w:t>
      </w:r>
      <w:r>
        <w:rPr>
          <w:rFonts w:ascii="LMRoman12" w:hAnsi="LMRoman12" w:eastAsia="LMRoman12"/>
          <w:b/>
          <w:i w:val="0"/>
          <w:color w:val="000000"/>
          <w:sz w:val="24"/>
        </w:rPr>
        <w:t>de</w:t>
      </w:r>
      <w:r>
        <w:rPr>
          <w:rFonts w:ascii="LMRoman12" w:hAnsi="LMRoman12" w:eastAsia="LMRoman12"/>
          <w:b/>
          <w:i w:val="0"/>
          <w:color w:val="000000"/>
          <w:sz w:val="24"/>
        </w:rPr>
        <w:t>gestão</w:t>
      </w:r>
      <w:r>
        <w:rPr>
          <w:rFonts w:ascii="LMRoman12" w:hAnsi="LMRoman12" w:eastAsia="LMRoman12"/>
          <w:b/>
          <w:i w:val="0"/>
          <w:color w:val="000000"/>
          <w:sz w:val="24"/>
        </w:rPr>
        <w:t>de</w:t>
      </w:r>
      <w:r>
        <w:rPr>
          <w:rFonts w:ascii="LMRoman12" w:hAnsi="LMRoman12" w:eastAsia="LMRoman12"/>
          <w:b/>
          <w:i w:val="0"/>
          <w:color w:val="000000"/>
          <w:sz w:val="24"/>
        </w:rPr>
        <w:t>manutenção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Janeiro,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2012.</w:t>
      </w:r>
    </w:p>
    <w:p>
      <w:pPr>
        <w:autoSpaceDN w:val="0"/>
        <w:autoSpaceDE w:val="0"/>
        <w:widowControl/>
        <w:spacing w:line="288" w:lineRule="exact" w:before="100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AWUZIE,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Bankole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Osita;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Rasheed.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Stakeholders’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perception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critical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success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factors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sustainable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facilities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management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practice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universities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sub-Saharan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Africa.</w:t>
      </w:r>
    </w:p>
    <w:p>
      <w:pPr>
        <w:autoSpaceDN w:val="0"/>
        <w:autoSpaceDE w:val="0"/>
        <w:widowControl/>
        <w:spacing w:line="250" w:lineRule="exact" w:before="50" w:after="0"/>
        <w:ind w:left="25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Acta</w:t>
      </w:r>
      <w:r>
        <w:rPr>
          <w:rFonts w:ascii="LMRoman12" w:hAnsi="LMRoman12" w:eastAsia="LMRoman12"/>
          <w:b/>
          <w:i w:val="0"/>
          <w:color w:val="000000"/>
          <w:sz w:val="24"/>
        </w:rPr>
        <w:t>Structilia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24,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106–127,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2017.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DOI:</w:t>
      </w:r>
      <w:r>
        <w:rPr>
          <w:rFonts w:ascii="LMMono12" w:hAnsi="LMMono12" w:eastAsia="LMMono12"/>
          <w:b w:val="0"/>
          <w:i w:val="0"/>
          <w:color w:val="0000FF"/>
          <w:sz w:val="24"/>
        </w:rPr>
        <w:hyperlink r:id="rId65" w:history="1">
          <w:r>
            <w:rPr>
              <w:rStyle w:val="Hyperlink"/>
            </w:rPr>
            <w:t>10.18820/24150487/as24i2.4</w:t>
          </w:r>
        </w:hyperlink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38" w:lineRule="exact" w:before="774" w:after="0"/>
        <w:ind w:left="0" w:right="448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23</w:t>
      </w:r>
    </w:p>
    <w:p>
      <w:pPr>
        <w:sectPr>
          <w:pgSz w:w="11906" w:h="16838"/>
          <w:pgMar w:top="876" w:right="1068" w:bottom="24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6"/>
        <w:ind w:left="0" w:right="0"/>
      </w:pPr>
    </w:p>
    <w:p>
      <w:pPr>
        <w:autoSpaceDN w:val="0"/>
        <w:autoSpaceDE w:val="0"/>
        <w:widowControl/>
        <w:spacing w:line="276" w:lineRule="exact" w:before="0" w:after="0"/>
        <w:ind w:left="254" w:right="14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CHEW,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Michael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CONEJOS,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Sheila.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Developing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green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maintainability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green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walls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Singapore.</w:t>
      </w:r>
      <w:r>
        <w:rPr>
          <w:rFonts w:ascii="LMRoman12" w:hAnsi="LMRoman12" w:eastAsia="LMRoman12"/>
          <w:b/>
          <w:i w:val="0"/>
          <w:color w:val="000000"/>
          <w:sz w:val="24"/>
        </w:rPr>
        <w:t>Structural</w:t>
      </w:r>
      <w:r>
        <w:rPr>
          <w:rFonts w:ascii="LMRoman12" w:hAnsi="LMRoman12" w:eastAsia="LMRoman12"/>
          <w:b/>
          <w:i w:val="0"/>
          <w:color w:val="000000"/>
          <w:sz w:val="24"/>
        </w:rPr>
        <w:t>Survey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34,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4/5,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379–406,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2016.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DOI:</w:t>
      </w:r>
      <w:r>
        <w:rPr>
          <w:rFonts w:ascii="LMMono12" w:hAnsi="LMMono12" w:eastAsia="LMMono12"/>
          <w:b w:val="0"/>
          <w:i w:val="0"/>
          <w:color w:val="0000FF"/>
          <w:sz w:val="24"/>
        </w:rPr>
        <w:hyperlink r:id="rId66" w:history="1">
          <w:r>
            <w:rPr>
              <w:rStyle w:val="Hyperlink"/>
            </w:rPr>
            <w:t>10.1108/SS-02-2016-0007</w:t>
          </w:r>
        </w:hyperlink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96" w:lineRule="exact" w:before="84" w:after="0"/>
        <w:ind w:left="260" w:right="576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CONEJOS,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Sheila;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CHEW,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Michael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AZRIL,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Fikril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Hakim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Bin.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Green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maintainability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assessment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high-rise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vertical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greenery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systems.</w:t>
      </w:r>
      <w:r>
        <w:rPr>
          <w:rFonts w:ascii="LMRoman12" w:hAnsi="LMRoman12" w:eastAsia="LMRoman12"/>
          <w:b/>
          <w:i w:val="0"/>
          <w:color w:val="000000"/>
          <w:sz w:val="24"/>
        </w:rPr>
        <w:t>Facilities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37,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13/14,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1008–1047,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2019.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DOI:</w:t>
      </w:r>
      <w:r>
        <w:rPr>
          <w:rFonts w:ascii="LMMono12" w:hAnsi="LMMono12" w:eastAsia="LMMono12"/>
          <w:b w:val="0"/>
          <w:i w:val="0"/>
          <w:color w:val="0000FF"/>
          <w:sz w:val="24"/>
        </w:rPr>
        <w:hyperlink r:id="rId67" w:history="1">
          <w:r>
            <w:rPr>
              <w:rStyle w:val="Hyperlink"/>
            </w:rPr>
            <w:t>10.1108/F-09-2018-0107</w:t>
          </w:r>
        </w:hyperlink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252" w:val="left"/>
          <w:tab w:pos="260" w:val="left"/>
        </w:tabs>
        <w:autoSpaceDE w:val="0"/>
        <w:widowControl/>
        <w:spacing w:line="288" w:lineRule="exact" w:before="90" w:after="0"/>
        <w:ind w:left="224" w:right="576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CROSSREF.</w:t>
      </w:r>
      <w:r>
        <w:rPr>
          <w:rFonts w:ascii="LMRoman12" w:hAnsi="LMRoman12" w:eastAsia="LMRoman12"/>
          <w:b/>
          <w:i w:val="0"/>
          <w:color w:val="000000"/>
          <w:sz w:val="24"/>
        </w:rPr>
        <w:t>REST</w:t>
      </w:r>
      <w:r>
        <w:rPr>
          <w:rFonts w:ascii="LMRoman12" w:hAnsi="LMRoman12" w:eastAsia="LMRoman12"/>
          <w:b/>
          <w:i w:val="0"/>
          <w:color w:val="000000"/>
          <w:sz w:val="24"/>
        </w:rPr>
        <w:t>API:</w:t>
      </w:r>
      <w:r>
        <w:rPr>
          <w:rFonts w:ascii="LMRoman12" w:hAnsi="LMRoman12" w:eastAsia="LMRoman12"/>
          <w:b/>
          <w:i w:val="0"/>
          <w:color w:val="000000"/>
          <w:sz w:val="24"/>
        </w:rPr>
        <w:t>metadata</w:t>
      </w:r>
      <w:r>
        <w:rPr>
          <w:rFonts w:ascii="LMRoman12" w:hAnsi="LMRoman12" w:eastAsia="LMRoman12"/>
          <w:b/>
          <w:i w:val="0"/>
          <w:color w:val="000000"/>
          <w:sz w:val="24"/>
        </w:rPr>
        <w:t>retrieval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2026.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Disponível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em: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&lt;</w:t>
      </w:r>
      <w:r>
        <w:rPr>
          <w:rFonts w:ascii="LMMono12" w:hAnsi="LMMono12" w:eastAsia="LMMono12"/>
          <w:b w:val="0"/>
          <w:i w:val="0"/>
          <w:color w:val="0000FF"/>
          <w:sz w:val="24"/>
        </w:rPr>
        <w:hyperlink r:id="rId68" w:history="1">
          <w:r>
            <w:rPr>
              <w:rStyle w:val="Hyperlink"/>
            </w:rPr>
            <w:t>https://www.crossref.org/documentation/retrieve-metadata/rest-api/</w:t>
          </w:r>
        </w:hyperlink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&gt;.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Acesso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jul.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2026.</w:t>
      </w:r>
    </w:p>
    <w:p>
      <w:pPr>
        <w:autoSpaceDN w:val="0"/>
        <w:autoSpaceDE w:val="0"/>
        <w:widowControl/>
        <w:spacing w:line="292" w:lineRule="exact" w:before="96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DENG,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MENASSA,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Carol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C.;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KAMAT,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Vineet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BIM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digital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twins: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systematic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review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evolution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intelligent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representations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AEC-FM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industry.</w:t>
      </w:r>
      <w:r>
        <w:rPr>
          <w:rFonts w:ascii="LMRoman12" w:hAnsi="LMRoman12" w:eastAsia="LMRoman12"/>
          <w:b/>
          <w:i w:val="0"/>
          <w:color w:val="000000"/>
          <w:sz w:val="24"/>
        </w:rPr>
        <w:t>Journal</w:t>
      </w:r>
      <w:r>
        <w:rPr>
          <w:rFonts w:ascii="LMRoman12" w:hAnsi="LMRoman12" w:eastAsia="LMRoman12"/>
          <w:b/>
          <w:i w:val="0"/>
          <w:color w:val="000000"/>
          <w:sz w:val="24"/>
        </w:rPr>
        <w:t>of</w:t>
      </w:r>
      <w:r>
        <w:rPr>
          <w:rFonts w:ascii="LMRoman12" w:hAnsi="LMRoman12" w:eastAsia="LMRoman12"/>
          <w:b/>
          <w:i w:val="0"/>
          <w:color w:val="000000"/>
          <w:sz w:val="24"/>
        </w:rPr>
        <w:t>Information</w:t>
      </w:r>
      <w:r>
        <w:rPr>
          <w:rFonts w:ascii="LMRoman12" w:hAnsi="LMRoman12" w:eastAsia="LMRoman12"/>
          <w:b/>
          <w:i w:val="0"/>
          <w:color w:val="000000"/>
          <w:sz w:val="24"/>
        </w:rPr>
        <w:t>Technology</w:t>
      </w:r>
      <w:r>
        <w:rPr>
          <w:rFonts w:ascii="LMRoman12" w:hAnsi="LMRoman12" w:eastAsia="LMRoman12"/>
          <w:b/>
          <w:i w:val="0"/>
          <w:color w:val="000000"/>
          <w:sz w:val="24"/>
        </w:rPr>
        <w:t>in</w:t>
      </w:r>
      <w:r>
        <w:rPr>
          <w:rFonts w:ascii="LMRoman12" w:hAnsi="LMRoman12" w:eastAsia="LMRoman12"/>
          <w:b/>
          <w:i w:val="0"/>
          <w:color w:val="000000"/>
          <w:sz w:val="24"/>
        </w:rPr>
        <w:t>Construction</w:t>
      </w:r>
      <w:r>
        <w:rPr>
          <w:rFonts w:ascii="LMRoman12" w:hAnsi="LMRoman12" w:eastAsia="LMRoman12"/>
          <w:b/>
          <w:i w:val="0"/>
          <w:color w:val="000000"/>
          <w:sz w:val="24"/>
        </w:rPr>
        <w:t>(ITcon)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26,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58–83,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DOI:</w:t>
      </w:r>
      <w:r>
        <w:rPr>
          <w:rFonts w:ascii="LMMono12" w:hAnsi="LMMono12" w:eastAsia="LMMono12"/>
          <w:b w:val="0"/>
          <w:i w:val="0"/>
          <w:color w:val="0000FF"/>
          <w:sz w:val="24"/>
        </w:rPr>
        <w:hyperlink r:id="rId69" w:history="1">
          <w:r>
            <w:rPr>
              <w:rStyle w:val="Hyperlink"/>
            </w:rPr>
            <w:t>10.36680/j.itcon.2021.005</w:t>
          </w:r>
        </w:hyperlink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96" w:lineRule="exact" w:before="84" w:after="0"/>
        <w:ind w:left="254" w:right="576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DONTHU,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Naveen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conduct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bibliometric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analysis: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overview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guidelines.</w:t>
      </w:r>
      <w:r>
        <w:rPr>
          <w:rFonts w:ascii="LMRoman12" w:hAnsi="LMRoman12" w:eastAsia="LMRoman12"/>
          <w:b/>
          <w:i w:val="0"/>
          <w:color w:val="000000"/>
          <w:sz w:val="24"/>
        </w:rPr>
        <w:t>Journal</w:t>
      </w:r>
      <w:r>
        <w:rPr>
          <w:rFonts w:ascii="LMRoman12" w:hAnsi="LMRoman12" w:eastAsia="LMRoman12"/>
          <w:b/>
          <w:i w:val="0"/>
          <w:color w:val="000000"/>
          <w:sz w:val="24"/>
        </w:rPr>
        <w:t>of</w:t>
      </w:r>
      <w:r>
        <w:rPr>
          <w:rFonts w:ascii="LMRoman12" w:hAnsi="LMRoman12" w:eastAsia="LMRoman12"/>
          <w:b/>
          <w:i w:val="0"/>
          <w:color w:val="000000"/>
          <w:sz w:val="24"/>
        </w:rPr>
        <w:t>Business</w:t>
      </w:r>
      <w:r>
        <w:rPr>
          <w:rFonts w:ascii="LMRoman12" w:hAnsi="LMRoman12" w:eastAsia="LMRoman12"/>
          <w:b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133,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285–296,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DOI: </w:t>
      </w:r>
      <w:r>
        <w:rPr>
          <w:rFonts w:ascii="LMMono12" w:hAnsi="LMMono12" w:eastAsia="LMMono12"/>
          <w:b w:val="0"/>
          <w:i w:val="0"/>
          <w:color w:val="0000FF"/>
          <w:sz w:val="24"/>
        </w:rPr>
        <w:hyperlink r:id="rId70" w:history="1">
          <w:r>
            <w:rPr>
              <w:rStyle w:val="Hyperlink"/>
            </w:rPr>
            <w:t>10.1016/j.jbusres.2021.04.070</w:t>
          </w:r>
        </w:hyperlink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94" w:lineRule="exact" w:before="84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ESPINOSA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GISPERT,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Diego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Development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ontology-based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information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predictive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maintenance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facilities.</w:t>
      </w:r>
      <w:r>
        <w:rPr>
          <w:rFonts w:ascii="LMRoman12" w:hAnsi="LMRoman12" w:eastAsia="LMRoman12"/>
          <w:b/>
          <w:i w:val="0"/>
          <w:color w:val="000000"/>
          <w:sz w:val="24"/>
        </w:rPr>
        <w:t>Smart</w:t>
      </w:r>
      <w:r>
        <w:rPr>
          <w:rFonts w:ascii="LMRoman12" w:hAnsi="LMRoman12" w:eastAsia="LMRoman12"/>
          <w:b/>
          <w:i w:val="0"/>
          <w:color w:val="000000"/>
          <w:sz w:val="24"/>
        </w:rPr>
        <w:t>and</w:t>
      </w:r>
      <w:r>
        <w:rPr>
          <w:rFonts w:ascii="LMRoman12" w:hAnsi="LMRoman12" w:eastAsia="LMRoman12"/>
          <w:b/>
          <w:i w:val="0"/>
          <w:color w:val="000000"/>
          <w:sz w:val="24"/>
        </w:rPr>
        <w:t>Sustainable</w:t>
      </w:r>
      <w:r>
        <w:rPr>
          <w:rFonts w:ascii="LMRoman12" w:hAnsi="LMRoman12" w:eastAsia="LMRoman12"/>
          <w:b/>
          <w:i w:val="0"/>
          <w:color w:val="000000"/>
          <w:sz w:val="24"/>
        </w:rPr>
        <w:t xml:space="preserve">Built </w:t>
      </w:r>
      <w:r>
        <w:rPr>
          <w:rFonts w:ascii="LMRoman12" w:hAnsi="LMRoman12" w:eastAsia="LMRoman12"/>
          <w:b/>
          <w:i w:val="0"/>
          <w:color w:val="000000"/>
          <w:sz w:val="24"/>
        </w:rPr>
        <w:t>Environment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14,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740–757,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2025.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DOI:</w:t>
      </w:r>
      <w:r>
        <w:rPr>
          <w:rFonts w:ascii="LMMono12" w:hAnsi="LMMono12" w:eastAsia="LMMono12"/>
          <w:b w:val="0"/>
          <w:i w:val="0"/>
          <w:color w:val="0000FF"/>
          <w:sz w:val="24"/>
        </w:rPr>
        <w:hyperlink r:id="rId71" w:history="1">
          <w:r>
            <w:rPr>
              <w:rStyle w:val="Hyperlink"/>
            </w:rPr>
            <w:t>10.1108/SASBE-07-2023-0170</w:t>
          </w:r>
        </w:hyperlink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94" w:lineRule="exact" w:before="84" w:after="0"/>
        <w:ind w:left="254" w:right="576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FERREIRA,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Cláudia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Stochastic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maintenance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ceramic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claddings. </w:t>
      </w:r>
      <w:r>
        <w:rPr>
          <w:rFonts w:ascii="LMRoman12" w:hAnsi="LMRoman12" w:eastAsia="LMRoman12"/>
          <w:b/>
          <w:i w:val="0"/>
          <w:color w:val="000000"/>
          <w:sz w:val="24"/>
        </w:rPr>
        <w:t>Structure</w:t>
      </w:r>
      <w:r>
        <w:rPr>
          <w:rFonts w:ascii="LMRoman12" w:hAnsi="LMRoman12" w:eastAsia="LMRoman12"/>
          <w:b/>
          <w:i w:val="0"/>
          <w:color w:val="000000"/>
          <w:sz w:val="24"/>
        </w:rPr>
        <w:t>and</w:t>
      </w:r>
      <w:r>
        <w:rPr>
          <w:rFonts w:ascii="LMRoman12" w:hAnsi="LMRoman12" w:eastAsia="LMRoman12"/>
          <w:b/>
          <w:i w:val="0"/>
          <w:color w:val="000000"/>
          <w:sz w:val="24"/>
        </w:rPr>
        <w:t>Infrastructure</w:t>
      </w:r>
      <w:r>
        <w:rPr>
          <w:rFonts w:ascii="LMRoman12" w:hAnsi="LMRoman12" w:eastAsia="LMRoman12"/>
          <w:b/>
          <w:i w:val="0"/>
          <w:color w:val="000000"/>
          <w:sz w:val="24"/>
        </w:rPr>
        <w:t>Engineering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16,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247–265,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2020.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DOI: </w:t>
      </w:r>
      <w:r>
        <w:rPr>
          <w:rFonts w:ascii="LMMono12" w:hAnsi="LMMono12" w:eastAsia="LMMono12"/>
          <w:b w:val="0"/>
          <w:i w:val="0"/>
          <w:color w:val="0000FF"/>
          <w:sz w:val="24"/>
        </w:rPr>
        <w:hyperlink r:id="rId72" w:history="1">
          <w:r>
            <w:rPr>
              <w:rStyle w:val="Hyperlink"/>
            </w:rPr>
            <w:t>10.1080/15732479.2019.1652657</w:t>
          </w:r>
        </w:hyperlink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90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GORETTI,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Hannah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A.;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KAMING,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Peter.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review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bibliometric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analysis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utilizing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information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(BIM)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effective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maintenance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(O&amp;M).</w:t>
      </w:r>
    </w:p>
    <w:p>
      <w:pPr>
        <w:autoSpaceDN w:val="0"/>
        <w:autoSpaceDE w:val="0"/>
        <w:widowControl/>
        <w:spacing w:line="296" w:lineRule="exact" w:before="0" w:after="0"/>
        <w:ind w:left="254" w:right="3168" w:firstLine="6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E3S</w:t>
      </w:r>
      <w:r>
        <w:rPr>
          <w:rFonts w:ascii="LMRoman12" w:hAnsi="LMRoman12" w:eastAsia="LMRoman12"/>
          <w:b/>
          <w:i w:val="0"/>
          <w:color w:val="000000"/>
          <w:sz w:val="24"/>
        </w:rPr>
        <w:t>Web</w:t>
      </w:r>
      <w:r>
        <w:rPr>
          <w:rFonts w:ascii="LMRoman12" w:hAnsi="LMRoman12" w:eastAsia="LMRoman12"/>
          <w:b/>
          <w:i w:val="0"/>
          <w:color w:val="000000"/>
          <w:sz w:val="24"/>
        </w:rPr>
        <w:t>of</w:t>
      </w:r>
      <w:r>
        <w:rPr>
          <w:rFonts w:ascii="LMRoman12" w:hAnsi="LMRoman12" w:eastAsia="LMRoman12"/>
          <w:b/>
          <w:i w:val="0"/>
          <w:color w:val="000000"/>
          <w:sz w:val="24"/>
        </w:rPr>
        <w:t>Conferences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429,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01002,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2023.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DOI: </w:t>
      </w:r>
      <w:r>
        <w:rPr>
          <w:rFonts w:ascii="LMMono12" w:hAnsi="LMMono12" w:eastAsia="LMMono12"/>
          <w:b w:val="0"/>
          <w:i w:val="0"/>
          <w:color w:val="0000FF"/>
          <w:sz w:val="24"/>
        </w:rPr>
        <w:hyperlink r:id="rId73" w:history="1">
          <w:r>
            <w:rPr>
              <w:rStyle w:val="Hyperlink"/>
            </w:rPr>
            <w:t>10.1051/e3sconf/202342901002</w:t>
          </w:r>
        </w:hyperlink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94" w:lineRule="exact" w:before="84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HU,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Meilan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review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synthesis: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step-by-step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methodological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systematic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reviews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multilevel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meta-analyses.</w:t>
      </w:r>
      <w:r>
        <w:rPr>
          <w:rFonts w:ascii="LMRoman12" w:hAnsi="LMRoman12" w:eastAsia="LMRoman12"/>
          <w:b/>
          <w:i w:val="0"/>
          <w:color w:val="000000"/>
          <w:sz w:val="24"/>
        </w:rPr>
        <w:t>Behavior</w:t>
      </w:r>
      <w:r>
        <w:rPr>
          <w:rFonts w:ascii="LMRoman12" w:hAnsi="LMRoman12" w:eastAsia="LMRoman12"/>
          <w:b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/>
          <w:i w:val="0"/>
          <w:color w:val="000000"/>
          <w:sz w:val="24"/>
        </w:rPr>
        <w:t>Methods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58,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7,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197,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2026.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DOI:</w:t>
      </w:r>
      <w:r>
        <w:rPr>
          <w:rFonts w:ascii="LMMono12" w:hAnsi="LMMono12" w:eastAsia="LMMono12"/>
          <w:b w:val="0"/>
          <w:i w:val="0"/>
          <w:color w:val="0000FF"/>
          <w:sz w:val="24"/>
        </w:rPr>
        <w:hyperlink r:id="rId74" w:history="1">
          <w:r>
            <w:rPr>
              <w:rStyle w:val="Hyperlink"/>
            </w:rPr>
            <w:t>10.3758/s13428-026-02961-x</w:t>
          </w:r>
        </w:hyperlink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00" w:lineRule="exact" w:before="78" w:after="0"/>
        <w:ind w:left="260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JIANG,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Yu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al.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Rule-based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deduplication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article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bibliographic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databases. </w:t>
      </w:r>
      <w:r>
        <w:rPr>
          <w:rFonts w:ascii="LMRoman12" w:hAnsi="LMRoman12" w:eastAsia="LMRoman12"/>
          <w:b/>
          <w:i w:val="0"/>
          <w:color w:val="000000"/>
          <w:sz w:val="24"/>
        </w:rPr>
        <w:t>Database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2014,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bat086,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2014.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DOI:</w:t>
      </w:r>
      <w:r>
        <w:rPr>
          <w:rFonts w:ascii="LMMono12" w:hAnsi="LMMono12" w:eastAsia="LMMono12"/>
          <w:b w:val="0"/>
          <w:i w:val="0"/>
          <w:color w:val="0000FF"/>
          <w:sz w:val="24"/>
        </w:rPr>
        <w:hyperlink r:id="rId75" w:history="1">
          <w:r>
            <w:rPr>
              <w:rStyle w:val="Hyperlink"/>
            </w:rPr>
            <w:t>10.1093/database/bat086</w:t>
          </w:r>
        </w:hyperlink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96" w:lineRule="exact" w:before="82" w:after="0"/>
        <w:ind w:left="260" w:right="0" w:firstLine="0"/>
        <w:jc w:val="left"/>
      </w:pP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KIM,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Ji-Myong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al.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Development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maintenance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repair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cost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estimation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model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for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educational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buildings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regression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analysis.</w:t>
      </w:r>
      <w:r>
        <w:rPr>
          <w:rFonts w:ascii="LMRoman12" w:hAnsi="LMRoman12" w:eastAsia="LMRoman12"/>
          <w:b/>
          <w:i w:val="0"/>
          <w:color w:val="000000"/>
          <w:sz w:val="24"/>
        </w:rPr>
        <w:t>Journal</w:t>
      </w:r>
      <w:r>
        <w:rPr>
          <w:rFonts w:ascii="LMRoman12" w:hAnsi="LMRoman12" w:eastAsia="LMRoman12"/>
          <w:b/>
          <w:i w:val="0"/>
          <w:color w:val="000000"/>
          <w:sz w:val="24"/>
        </w:rPr>
        <w:t>of</w:t>
      </w:r>
      <w:r>
        <w:rPr>
          <w:rFonts w:ascii="LMRoman12" w:hAnsi="LMRoman12" w:eastAsia="LMRoman12"/>
          <w:b/>
          <w:i w:val="0"/>
          <w:color w:val="000000"/>
          <w:sz w:val="24"/>
        </w:rPr>
        <w:t>Asian</w:t>
      </w:r>
      <w:r>
        <w:rPr>
          <w:rFonts w:ascii="LMRoman12" w:hAnsi="LMRoman12" w:eastAsia="LMRoman12"/>
          <w:b/>
          <w:i w:val="0"/>
          <w:color w:val="000000"/>
          <w:sz w:val="24"/>
        </w:rPr>
        <w:t>Architecture</w:t>
      </w:r>
      <w:r>
        <w:rPr>
          <w:rFonts w:ascii="LMRoman12" w:hAnsi="LMRoman12" w:eastAsia="LMRoman12"/>
          <w:b/>
          <w:i w:val="0"/>
          <w:color w:val="000000"/>
          <w:sz w:val="24"/>
        </w:rPr>
        <w:t xml:space="preserve">and </w:t>
      </w:r>
      <w:r>
        <w:rPr>
          <w:rFonts w:ascii="LMRoman12" w:hAnsi="LMRoman12" w:eastAsia="LMRoman12"/>
          <w:b/>
          <w:i w:val="0"/>
          <w:color w:val="000000"/>
          <w:sz w:val="24"/>
        </w:rPr>
        <w:t>Building</w:t>
      </w:r>
      <w:r>
        <w:rPr>
          <w:rFonts w:ascii="LMRoman12" w:hAnsi="LMRoman12" w:eastAsia="LMRoman12"/>
          <w:b/>
          <w:i w:val="0"/>
          <w:color w:val="000000"/>
          <w:sz w:val="24"/>
        </w:rPr>
        <w:t>Engineering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17,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307–312,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2018.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DOI:</w:t>
      </w:r>
      <w:r>
        <w:rPr>
          <w:rFonts w:ascii="LMMono12" w:hAnsi="LMMono12" w:eastAsia="LMMono12"/>
          <w:b w:val="0"/>
          <w:i w:val="0"/>
          <w:color w:val="0000FF"/>
          <w:sz w:val="24"/>
        </w:rPr>
        <w:hyperlink r:id="rId76" w:history="1">
          <w:r>
            <w:rPr>
              <w:rStyle w:val="Hyperlink"/>
            </w:rPr>
            <w:t>10.3130/jaabe.17.307</w:t>
          </w:r>
        </w:hyperlink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92" w:lineRule="exact" w:before="86" w:after="0"/>
        <w:ind w:left="252" w:right="0" w:firstLine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MARTINS,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Rafael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Fernando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Batista;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ESPEJO,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Márcia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Maria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Santos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Bortolocci.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Análise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custos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manutenção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universidade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federal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brasileira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uso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suavização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exponencial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simples.</w:t>
      </w:r>
      <w:r>
        <w:rPr>
          <w:rFonts w:ascii="LMRoman12" w:hAnsi="LMRoman12" w:eastAsia="LMRoman12"/>
          <w:b/>
          <w:i w:val="0"/>
          <w:color w:val="000000"/>
          <w:sz w:val="24"/>
        </w:rPr>
        <w:t>ABCustos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19,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79–98,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2024.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DOI:</w:t>
      </w:r>
      <w:r>
        <w:rPr>
          <w:rFonts w:ascii="LMMono12" w:hAnsi="LMMono12" w:eastAsia="LMMono12"/>
          <w:b w:val="0"/>
          <w:i w:val="0"/>
          <w:color w:val="0000FF"/>
          <w:sz w:val="24"/>
        </w:rPr>
        <w:hyperlink r:id="rId77" w:history="1">
          <w:r>
            <w:rPr>
              <w:rStyle w:val="Hyperlink"/>
            </w:rPr>
            <w:t>10.47179/abcustos.v19i1.719</w:t>
          </w:r>
        </w:hyperlink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92" w:lineRule="exact" w:before="86" w:after="0"/>
        <w:ind w:left="260" w:right="288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MASMOUDI,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Malek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Contractors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allocation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maintenance: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sustainable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approach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aligned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SDGs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AHP-TOPSIS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bi-objective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optimization.</w:t>
      </w:r>
      <w:r>
        <w:rPr>
          <w:rFonts w:ascii="LMRoman12" w:hAnsi="LMRoman12" w:eastAsia="LMRoman12"/>
          <w:b/>
          <w:i w:val="0"/>
          <w:color w:val="000000"/>
          <w:sz w:val="24"/>
        </w:rPr>
        <w:t>International</w:t>
      </w:r>
      <w:r>
        <w:rPr>
          <w:rFonts w:ascii="LMRoman12" w:hAnsi="LMRoman12" w:eastAsia="LMRoman12"/>
          <w:b/>
          <w:i w:val="0"/>
          <w:color w:val="000000"/>
          <w:sz w:val="24"/>
        </w:rPr>
        <w:t>Transactions</w:t>
      </w:r>
      <w:r>
        <w:rPr>
          <w:rFonts w:ascii="LMRoman12" w:hAnsi="LMRoman12" w:eastAsia="LMRoman12"/>
          <w:b/>
          <w:i w:val="0"/>
          <w:color w:val="000000"/>
          <w:sz w:val="24"/>
        </w:rPr>
        <w:t>in</w:t>
      </w:r>
      <w:r>
        <w:rPr>
          <w:rFonts w:ascii="LMRoman12" w:hAnsi="LMRoman12" w:eastAsia="LMRoman12"/>
          <w:b/>
          <w:i w:val="0"/>
          <w:color w:val="000000"/>
          <w:sz w:val="24"/>
        </w:rPr>
        <w:t>Operational</w:t>
      </w:r>
      <w:r>
        <w:rPr>
          <w:rFonts w:ascii="LMRoman12" w:hAnsi="LMRoman12" w:eastAsia="LMRoman12"/>
          <w:b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33,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4,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2535–2576,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2026.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DOI:</w:t>
      </w:r>
      <w:r>
        <w:rPr>
          <w:rFonts w:ascii="LMMono12" w:hAnsi="LMMono12" w:eastAsia="LMMono12"/>
          <w:b w:val="0"/>
          <w:i w:val="0"/>
          <w:color w:val="0000FF"/>
          <w:sz w:val="24"/>
        </w:rPr>
        <w:hyperlink r:id="rId78" w:history="1">
          <w:r>
            <w:rPr>
              <w:rStyle w:val="Hyperlink"/>
            </w:rPr>
            <w:t>10.1111/itor.70022</w:t>
          </w:r>
        </w:hyperlink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38" w:lineRule="exact" w:before="1072" w:after="0"/>
        <w:ind w:left="0" w:right="448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24</w:t>
      </w:r>
    </w:p>
    <w:p>
      <w:pPr>
        <w:sectPr>
          <w:pgSz w:w="11906" w:h="16838"/>
          <w:pgMar w:top="878" w:right="1068" w:bottom="24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6"/>
        <w:ind w:left="0" w:right="0"/>
      </w:pPr>
    </w:p>
    <w:p>
      <w:pPr>
        <w:autoSpaceDN w:val="0"/>
        <w:autoSpaceDE w:val="0"/>
        <w:widowControl/>
        <w:spacing w:line="278" w:lineRule="exact" w:before="0" w:after="0"/>
        <w:ind w:left="254" w:right="288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MORAIS,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Lucas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Salomão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PAULA,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Heber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Martins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de;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REIS,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Ricardo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Abreu.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Promoção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eficiência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manutenção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em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edificações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públicas: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abordagem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ordens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serviço.</w:t>
      </w:r>
      <w:r>
        <w:rPr>
          <w:rFonts w:ascii="LMRoman12" w:hAnsi="LMRoman12" w:eastAsia="LMRoman12"/>
          <w:b/>
          <w:i w:val="0"/>
          <w:color w:val="000000"/>
          <w:sz w:val="24"/>
        </w:rPr>
        <w:t>Paranoá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16,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34,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1–27,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2023.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DOI:</w:t>
      </w:r>
      <w:r>
        <w:rPr>
          <w:rFonts w:ascii="LMMono12" w:hAnsi="LMMono12" w:eastAsia="LMMono12"/>
          <w:b w:val="0"/>
          <w:i w:val="0"/>
          <w:color w:val="0000FF"/>
          <w:sz w:val="24"/>
        </w:rPr>
        <w:hyperlink r:id="rId79" w:history="1">
          <w:r>
            <w:rPr>
              <w:rStyle w:val="Hyperlink"/>
            </w:rPr>
            <w:t>10.18830/issn.1679-0944.n34.2023.08</w:t>
          </w:r>
        </w:hyperlink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94" w:lineRule="exact" w:before="72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NÄGELI,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Claudio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service-life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cycle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approach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maintenance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energy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retrofit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planning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portfolios.</w:t>
      </w:r>
      <w:r>
        <w:rPr>
          <w:rFonts w:ascii="LMRoman12" w:hAnsi="LMRoman12" w:eastAsia="LMRoman12"/>
          <w:b/>
          <w:i w:val="0"/>
          <w:color w:val="000000"/>
          <w:sz w:val="24"/>
        </w:rPr>
        <w:t>Building</w:t>
      </w:r>
      <w:r>
        <w:rPr>
          <w:rFonts w:ascii="LMRoman12" w:hAnsi="LMRoman12" w:eastAsia="LMRoman12"/>
          <w:b/>
          <w:i w:val="0"/>
          <w:color w:val="000000"/>
          <w:sz w:val="24"/>
        </w:rPr>
        <w:t>and</w:t>
      </w:r>
      <w:r>
        <w:rPr>
          <w:rFonts w:ascii="LMRoman12" w:hAnsi="LMRoman12" w:eastAsia="LMRoman12"/>
          <w:b/>
          <w:i w:val="0"/>
          <w:color w:val="000000"/>
          <w:sz w:val="24"/>
        </w:rPr>
        <w:t>Environment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160,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106212,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2019.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DOI:</w:t>
      </w:r>
      <w:r>
        <w:rPr>
          <w:rFonts w:ascii="LMMono12" w:hAnsi="LMMono12" w:eastAsia="LMMono12"/>
          <w:b w:val="0"/>
          <w:i w:val="0"/>
          <w:color w:val="0000FF"/>
          <w:sz w:val="24"/>
        </w:rPr>
        <w:hyperlink r:id="rId80" w:history="1">
          <w:r>
            <w:rPr>
              <w:rStyle w:val="Hyperlink"/>
            </w:rPr>
            <w:t>10.1016/j.buildenv.2019.106212</w:t>
          </w:r>
        </w:hyperlink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92" w:lineRule="exact" w:before="74" w:after="0"/>
        <w:ind w:left="25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NAJI,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Khalid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K.;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GUNDUZ,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Murat;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MAKI,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Omar.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Development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campus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facility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management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modified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Delphi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method.</w:t>
      </w:r>
      <w:r>
        <w:rPr>
          <w:rFonts w:ascii="LMRoman12" w:hAnsi="LMRoman12" w:eastAsia="LMRoman12"/>
          <w:b/>
          <w:i w:val="0"/>
          <w:color w:val="000000"/>
          <w:sz w:val="24"/>
        </w:rPr>
        <w:t>Journal</w:t>
      </w:r>
      <w:r>
        <w:rPr>
          <w:rFonts w:ascii="LMRoman12" w:hAnsi="LMRoman12" w:eastAsia="LMRoman12"/>
          <w:b/>
          <w:i w:val="0"/>
          <w:color w:val="000000"/>
          <w:sz w:val="24"/>
        </w:rPr>
        <w:t xml:space="preserve">of </w:t>
      </w:r>
      <w:r>
        <w:rPr>
          <w:rFonts w:ascii="LMRoman12" w:hAnsi="LMRoman12" w:eastAsia="LMRoman12"/>
          <w:b/>
          <w:i w:val="0"/>
          <w:color w:val="000000"/>
          <w:sz w:val="24"/>
        </w:rPr>
        <w:t>Construction</w:t>
      </w:r>
      <w:r>
        <w:rPr>
          <w:rFonts w:ascii="LMRoman12" w:hAnsi="LMRoman12" w:eastAsia="LMRoman12"/>
          <w:b/>
          <w:i w:val="0"/>
          <w:color w:val="000000"/>
          <w:sz w:val="24"/>
        </w:rPr>
        <w:t>Engineering</w:t>
      </w:r>
      <w:r>
        <w:rPr>
          <w:rFonts w:ascii="LMRoman12" w:hAnsi="LMRoman12" w:eastAsia="LMRoman12"/>
          <w:b/>
          <w:i w:val="0"/>
          <w:color w:val="000000"/>
          <w:sz w:val="24"/>
        </w:rPr>
        <w:t>and</w:t>
      </w:r>
      <w:r>
        <w:rPr>
          <w:rFonts w:ascii="LMRoman12" w:hAnsi="LMRoman12" w:eastAsia="LMRoman12"/>
          <w:b/>
          <w:i w:val="0"/>
          <w:color w:val="000000"/>
          <w:sz w:val="24"/>
        </w:rPr>
        <w:t>Management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149,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7,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04023052,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2023.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DOI: </w:t>
      </w:r>
      <w:r>
        <w:rPr>
          <w:rFonts w:ascii="LMMono12" w:hAnsi="LMMono12" w:eastAsia="LMMono12"/>
          <w:b w:val="0"/>
          <w:i w:val="0"/>
          <w:color w:val="0000FF"/>
          <w:sz w:val="24"/>
        </w:rPr>
        <w:hyperlink r:id="rId81" w:history="1">
          <w:r>
            <w:rPr>
              <w:rStyle w:val="Hyperlink"/>
            </w:rPr>
            <w:t>10.1061/JCEMD4.COENG-13154</w:t>
          </w:r>
        </w:hyperlink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92" w:lineRule="exact" w:before="74" w:after="0"/>
        <w:ind w:left="254" w:right="288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NDUKUBA,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Samuel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Nnadoziem.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institutional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resilience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through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sustainable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facility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management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South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African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vocational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education.</w:t>
      </w:r>
      <w:r>
        <w:rPr>
          <w:rFonts w:ascii="LMRoman12" w:hAnsi="LMRoman12" w:eastAsia="LMRoman12"/>
          <w:b/>
          <w:i w:val="0"/>
          <w:color w:val="000000"/>
          <w:sz w:val="24"/>
        </w:rPr>
        <w:t xml:space="preserve">Construction </w:t>
      </w:r>
      <w:r>
        <w:br/>
      </w:r>
      <w:r>
        <w:rPr>
          <w:rFonts w:ascii="LMRoman12" w:hAnsi="LMRoman12" w:eastAsia="LMRoman12"/>
          <w:b/>
          <w:i w:val="0"/>
          <w:color w:val="000000"/>
          <w:sz w:val="24"/>
        </w:rPr>
        <w:t>Entrepreneurship</w:t>
      </w:r>
      <w:r>
        <w:rPr>
          <w:rFonts w:ascii="LMRoman12" w:hAnsi="LMRoman12" w:eastAsia="LMRoman12"/>
          <w:b/>
          <w:i w:val="0"/>
          <w:color w:val="000000"/>
          <w:sz w:val="24"/>
        </w:rPr>
        <w:t>and</w:t>
      </w:r>
      <w:r>
        <w:rPr>
          <w:rFonts w:ascii="LMRoman12" w:hAnsi="LMRoman12" w:eastAsia="LMRoman12"/>
          <w:b/>
          <w:i w:val="0"/>
          <w:color w:val="000000"/>
          <w:sz w:val="24"/>
        </w:rPr>
        <w:t>Real</w:t>
      </w:r>
      <w:r>
        <w:rPr>
          <w:rFonts w:ascii="LMRoman12" w:hAnsi="LMRoman12" w:eastAsia="LMRoman12"/>
          <w:b/>
          <w:i w:val="0"/>
          <w:color w:val="000000"/>
          <w:sz w:val="24"/>
        </w:rPr>
        <w:t>Property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110–123,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2025.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DOI: </w:t>
      </w:r>
      <w:r>
        <w:rPr>
          <w:rFonts w:ascii="LMMono12" w:hAnsi="LMMono12" w:eastAsia="LMMono12"/>
          <w:b w:val="0"/>
          <w:i w:val="0"/>
          <w:color w:val="0000FF"/>
          <w:sz w:val="24"/>
        </w:rPr>
        <w:hyperlink r:id="rId82" w:history="1">
          <w:r>
            <w:rPr>
              <w:rStyle w:val="Hyperlink"/>
            </w:rPr>
            <w:t>10.56065/pdpyke84</w:t>
          </w:r>
        </w:hyperlink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96" w:lineRule="exact" w:before="72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NIELSEN,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Susanne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Balslev;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SARASOJA,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Anna-Liisa;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GALAMBA,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Kirsten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Ramskov.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Sustainability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facilities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management: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overview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research.</w:t>
      </w:r>
      <w:r>
        <w:rPr>
          <w:rFonts w:ascii="LMRoman12" w:hAnsi="LMRoman12" w:eastAsia="LMRoman12"/>
          <w:b/>
          <w:i w:val="0"/>
          <w:color w:val="000000"/>
          <w:sz w:val="24"/>
        </w:rPr>
        <w:t>Facilities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34,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9-10,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535–563,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2016.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DOI:</w:t>
      </w:r>
      <w:r>
        <w:rPr>
          <w:rFonts w:ascii="LMMono12" w:hAnsi="LMMono12" w:eastAsia="LMMono12"/>
          <w:b w:val="0"/>
          <w:i w:val="0"/>
          <w:color w:val="0000FF"/>
          <w:sz w:val="24"/>
        </w:rPr>
        <w:hyperlink r:id="rId83" w:history="1">
          <w:r>
            <w:rPr>
              <w:rStyle w:val="Hyperlink"/>
            </w:rPr>
            <w:t>10.1108/F-07-2014-0060</w:t>
          </w:r>
        </w:hyperlink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94" w:lineRule="exact" w:before="72" w:after="0"/>
        <w:ind w:left="25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OKORO,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Chioma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Sylvia.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Sustainable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facilities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management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environment: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mixed-method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review.</w:t>
      </w:r>
      <w:r>
        <w:rPr>
          <w:rFonts w:ascii="LMRoman12" w:hAnsi="LMRoman12" w:eastAsia="LMRoman12"/>
          <w:b/>
          <w:i w:val="0"/>
          <w:color w:val="000000"/>
          <w:sz w:val="24"/>
        </w:rPr>
        <w:t>Sustainability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15,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3174,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2023.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DOI: </w:t>
      </w:r>
      <w:r>
        <w:br/>
      </w:r>
      <w:r>
        <w:rPr>
          <w:rFonts w:ascii="LMMono12" w:hAnsi="LMMono12" w:eastAsia="LMMono12"/>
          <w:b w:val="0"/>
          <w:i w:val="0"/>
          <w:color w:val="0000FF"/>
          <w:sz w:val="24"/>
        </w:rPr>
        <w:hyperlink r:id="rId84" w:history="1">
          <w:r>
            <w:rPr>
              <w:rStyle w:val="Hyperlink"/>
            </w:rPr>
            <w:t>10.3390/su15043174</w:t>
          </w:r>
        </w:hyperlink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94" w:lineRule="exact" w:before="72" w:after="0"/>
        <w:ind w:left="254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OPOKU,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Alex;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LEE,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Jeoung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Yul.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future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facilities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management: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managing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facilities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sustainable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development.</w:t>
      </w:r>
      <w:r>
        <w:rPr>
          <w:rFonts w:ascii="LMRoman12" w:hAnsi="LMRoman12" w:eastAsia="LMRoman12"/>
          <w:b/>
          <w:i w:val="0"/>
          <w:color w:val="000000"/>
          <w:sz w:val="24"/>
        </w:rPr>
        <w:t>Sustainability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14,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1705,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2022.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DOI: </w:t>
      </w:r>
      <w:r>
        <w:br/>
      </w:r>
      <w:r>
        <w:rPr>
          <w:rFonts w:ascii="LMMono12" w:hAnsi="LMMono12" w:eastAsia="LMMono12"/>
          <w:b w:val="0"/>
          <w:i w:val="0"/>
          <w:color w:val="0000FF"/>
          <w:sz w:val="24"/>
        </w:rPr>
        <w:hyperlink r:id="rId85" w:history="1">
          <w:r>
            <w:rPr>
              <w:rStyle w:val="Hyperlink"/>
            </w:rPr>
            <w:t>10.3390/su14031705</w:t>
          </w:r>
        </w:hyperlink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92" w:lineRule="exact" w:before="74" w:after="0"/>
        <w:ind w:left="25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OTHMAN,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Ayman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Ahmed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Ezzat;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KAMAL,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Ahmed.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Enhancing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maintainability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through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early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supplier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involvement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design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process.</w:t>
      </w:r>
      <w:r>
        <w:rPr>
          <w:rFonts w:ascii="LMRoman12" w:hAnsi="LMRoman12" w:eastAsia="LMRoman12"/>
          <w:b/>
          <w:i w:val="0"/>
          <w:color w:val="000000"/>
          <w:sz w:val="24"/>
        </w:rPr>
        <w:t>Organization,</w:t>
      </w:r>
      <w:r>
        <w:rPr>
          <w:rFonts w:ascii="LMRoman12" w:hAnsi="LMRoman12" w:eastAsia="LMRoman12"/>
          <w:b/>
          <w:i w:val="0"/>
          <w:color w:val="000000"/>
          <w:sz w:val="24"/>
        </w:rPr>
        <w:t xml:space="preserve">Technology </w:t>
      </w:r>
      <w:r>
        <w:rPr>
          <w:rFonts w:ascii="LMRoman12" w:hAnsi="LMRoman12" w:eastAsia="LMRoman12"/>
          <w:b/>
          <w:i w:val="0"/>
          <w:color w:val="000000"/>
          <w:sz w:val="24"/>
        </w:rPr>
        <w:t>and</w:t>
      </w:r>
      <w:r>
        <w:rPr>
          <w:rFonts w:ascii="LMRoman12" w:hAnsi="LMRoman12" w:eastAsia="LMRoman12"/>
          <w:b/>
          <w:i w:val="0"/>
          <w:color w:val="000000"/>
          <w:sz w:val="24"/>
        </w:rPr>
        <w:t>Management</w:t>
      </w:r>
      <w:r>
        <w:rPr>
          <w:rFonts w:ascii="LMRoman12" w:hAnsi="LMRoman12" w:eastAsia="LMRoman12"/>
          <w:b/>
          <w:i w:val="0"/>
          <w:color w:val="000000"/>
          <w:sz w:val="24"/>
        </w:rPr>
        <w:t>in</w:t>
      </w:r>
      <w:r>
        <w:rPr>
          <w:rFonts w:ascii="LMRoman12" w:hAnsi="LMRoman12" w:eastAsia="LMRoman12"/>
          <w:b/>
          <w:i w:val="0"/>
          <w:color w:val="000000"/>
          <w:sz w:val="24"/>
        </w:rPr>
        <w:t>Construction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15,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34–49,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2023.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DOI: </w:t>
      </w:r>
      <w:r>
        <w:br/>
      </w:r>
      <w:r>
        <w:rPr>
          <w:rFonts w:ascii="LMMono12" w:hAnsi="LMMono12" w:eastAsia="LMMono12"/>
          <w:b w:val="0"/>
          <w:i w:val="0"/>
          <w:color w:val="0000FF"/>
          <w:sz w:val="24"/>
        </w:rPr>
        <w:hyperlink r:id="rId86" w:history="1">
          <w:r>
            <w:rPr>
              <w:rStyle w:val="Hyperlink"/>
            </w:rPr>
            <w:t>10.2478/otmcj-2023-0005</w:t>
          </w:r>
        </w:hyperlink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96" w:lineRule="exact" w:before="70" w:after="0"/>
        <w:ind w:left="260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PARK,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Sojin;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KWON,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Nahyun;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AHN,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Yonghan.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Forecasting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Repair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Schedule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Building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Components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Case-Based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Reasoning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Fuzzy-AHP.</w:t>
      </w:r>
      <w:r>
        <w:rPr>
          <w:rFonts w:ascii="LMRoman12" w:hAnsi="LMRoman12" w:eastAsia="LMRoman12"/>
          <w:b/>
          <w:i w:val="0"/>
          <w:color w:val="000000"/>
          <w:sz w:val="24"/>
        </w:rPr>
        <w:t>Sustainability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11,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24,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7181,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2019.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DOI:</w:t>
      </w:r>
      <w:r>
        <w:rPr>
          <w:rFonts w:ascii="LMMono12" w:hAnsi="LMMono12" w:eastAsia="LMMono12"/>
          <w:b w:val="0"/>
          <w:i w:val="0"/>
          <w:color w:val="0000FF"/>
          <w:sz w:val="24"/>
        </w:rPr>
        <w:hyperlink r:id="rId87" w:history="1">
          <w:r>
            <w:rPr>
              <w:rStyle w:val="Hyperlink"/>
            </w:rPr>
            <w:t>10.3390/su11247181</w:t>
          </w:r>
        </w:hyperlink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92" w:lineRule="exact" w:before="74" w:after="0"/>
        <w:ind w:left="25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RAMANTSWANA,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Thabelo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Embedding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facility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management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practices: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South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African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corporate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perspective.</w:t>
      </w:r>
      <w:r>
        <w:rPr>
          <w:rFonts w:ascii="LMRoman12" w:hAnsi="LMRoman12" w:eastAsia="LMRoman12"/>
          <w:b/>
          <w:i w:val="0"/>
          <w:color w:val="000000"/>
          <w:sz w:val="24"/>
        </w:rPr>
        <w:t>International</w:t>
      </w:r>
      <w:r>
        <w:rPr>
          <w:rFonts w:ascii="LMRoman12" w:hAnsi="LMRoman12" w:eastAsia="LMRoman12"/>
          <w:b/>
          <w:i w:val="0"/>
          <w:color w:val="000000"/>
          <w:sz w:val="24"/>
        </w:rPr>
        <w:t>Journal</w:t>
      </w:r>
      <w:r>
        <w:rPr>
          <w:rFonts w:ascii="LMRoman12" w:hAnsi="LMRoman12" w:eastAsia="LMRoman12"/>
          <w:b/>
          <w:i w:val="0"/>
          <w:color w:val="000000"/>
          <w:sz w:val="24"/>
        </w:rPr>
        <w:t>of</w:t>
      </w:r>
      <w:r>
        <w:rPr>
          <w:rFonts w:ascii="LMRoman12" w:hAnsi="LMRoman12" w:eastAsia="LMRoman12"/>
          <w:b/>
          <w:i w:val="0"/>
          <w:color w:val="000000"/>
          <w:sz w:val="24"/>
        </w:rPr>
        <w:t xml:space="preserve">Building </w:t>
      </w:r>
      <w:r>
        <w:rPr>
          <w:rFonts w:ascii="LMRoman12" w:hAnsi="LMRoman12" w:eastAsia="LMRoman12"/>
          <w:b/>
          <w:i w:val="0"/>
          <w:color w:val="000000"/>
          <w:sz w:val="24"/>
        </w:rPr>
        <w:t>Pathology</w:t>
      </w:r>
      <w:r>
        <w:rPr>
          <w:rFonts w:ascii="LMRoman12" w:hAnsi="LMRoman12" w:eastAsia="LMRoman12"/>
          <w:b/>
          <w:i w:val="0"/>
          <w:color w:val="000000"/>
          <w:sz w:val="24"/>
        </w:rPr>
        <w:t>and</w:t>
      </w:r>
      <w:r>
        <w:rPr>
          <w:rFonts w:ascii="LMRoman12" w:hAnsi="LMRoman12" w:eastAsia="LMRoman12"/>
          <w:b/>
          <w:i w:val="0"/>
          <w:color w:val="000000"/>
          <w:sz w:val="24"/>
        </w:rPr>
        <w:t>Adaptation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44,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5,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1246–1266,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2026.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DOI: </w:t>
      </w:r>
      <w:r>
        <w:br/>
      </w:r>
      <w:r>
        <w:rPr>
          <w:rFonts w:ascii="LMMono12" w:hAnsi="LMMono12" w:eastAsia="LMMono12"/>
          <w:b w:val="0"/>
          <w:i w:val="0"/>
          <w:color w:val="0000FF"/>
          <w:sz w:val="24"/>
        </w:rPr>
        <w:hyperlink r:id="rId88" w:history="1">
          <w:r>
            <w:rPr>
              <w:rStyle w:val="Hyperlink"/>
            </w:rPr>
            <w:t>10.1108/IJBPA-07-2025-0169</w:t>
          </w:r>
        </w:hyperlink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96" w:lineRule="exact" w:before="70" w:after="0"/>
        <w:ind w:left="25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RATHBONE,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John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Better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duplicate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systematic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reviewers: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evaluation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Systematic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Review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Assistant-Deduplication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Module.</w:t>
      </w:r>
      <w:r>
        <w:rPr>
          <w:rFonts w:ascii="LMRoman12" w:hAnsi="LMRoman12" w:eastAsia="LMRoman12"/>
          <w:b/>
          <w:i w:val="0"/>
          <w:color w:val="000000"/>
          <w:sz w:val="24"/>
        </w:rPr>
        <w:t>Systematic</w:t>
      </w:r>
      <w:r>
        <w:rPr>
          <w:rFonts w:ascii="LMRoman12" w:hAnsi="LMRoman12" w:eastAsia="LMRoman12"/>
          <w:b/>
          <w:i w:val="0"/>
          <w:color w:val="000000"/>
          <w:sz w:val="24"/>
        </w:rPr>
        <w:t>Reviews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6,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2015.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DOI:</w:t>
      </w:r>
      <w:r>
        <w:rPr>
          <w:rFonts w:ascii="LMMono12" w:hAnsi="LMMono12" w:eastAsia="LMMono12"/>
          <w:b w:val="0"/>
          <w:i w:val="0"/>
          <w:color w:val="0000FF"/>
          <w:sz w:val="24"/>
        </w:rPr>
        <w:hyperlink r:id="rId89" w:history="1">
          <w:r>
            <w:rPr>
              <w:rStyle w:val="Hyperlink"/>
            </w:rPr>
            <w:t>10.1186/2046-4053-4-6</w:t>
          </w:r>
        </w:hyperlink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94" w:lineRule="exact" w:before="72" w:after="0"/>
        <w:ind w:left="254" w:right="576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SNYDER,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Hannah.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Literature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review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methodology: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overview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guidelines.</w:t>
      </w:r>
      <w:r>
        <w:rPr>
          <w:rFonts w:ascii="LMRoman12" w:hAnsi="LMRoman12" w:eastAsia="LMRoman12"/>
          <w:b/>
          <w:i w:val="0"/>
          <w:color w:val="000000"/>
          <w:sz w:val="24"/>
        </w:rPr>
        <w:t>Journal</w:t>
      </w:r>
      <w:r>
        <w:rPr>
          <w:rFonts w:ascii="LMRoman12" w:hAnsi="LMRoman12" w:eastAsia="LMRoman12"/>
          <w:b/>
          <w:i w:val="0"/>
          <w:color w:val="000000"/>
          <w:sz w:val="24"/>
        </w:rPr>
        <w:t>of</w:t>
      </w:r>
      <w:r>
        <w:rPr>
          <w:rFonts w:ascii="LMRoman12" w:hAnsi="LMRoman12" w:eastAsia="LMRoman12"/>
          <w:b/>
          <w:i w:val="0"/>
          <w:color w:val="000000"/>
          <w:sz w:val="24"/>
        </w:rPr>
        <w:t>Business</w:t>
      </w:r>
      <w:r>
        <w:rPr>
          <w:rFonts w:ascii="LMRoman12" w:hAnsi="LMRoman12" w:eastAsia="LMRoman12"/>
          <w:b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104,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333–339,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2019.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DOI: </w:t>
      </w:r>
      <w:r>
        <w:rPr>
          <w:rFonts w:ascii="LMMono12" w:hAnsi="LMMono12" w:eastAsia="LMMono12"/>
          <w:b w:val="0"/>
          <w:i w:val="0"/>
          <w:color w:val="0000FF"/>
          <w:sz w:val="24"/>
        </w:rPr>
        <w:hyperlink r:id="rId90" w:history="1">
          <w:r>
            <w:rPr>
              <w:rStyle w:val="Hyperlink"/>
            </w:rPr>
            <w:t>10.1016/j.jbusres.2019.07.039</w:t>
          </w:r>
        </w:hyperlink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92" w:lineRule="exact" w:before="74" w:after="0"/>
        <w:ind w:left="254" w:right="14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TALIB,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Yuhainis;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RAJAGOPALAN,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Priyadarsini;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YANG,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Jay.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building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performance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strategic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facilities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management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healthcare: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study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public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hospital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Australia.</w:t>
      </w:r>
      <w:r>
        <w:rPr>
          <w:rFonts w:ascii="LMRoman12" w:hAnsi="LMRoman12" w:eastAsia="LMRoman12"/>
          <w:b/>
          <w:i w:val="0"/>
          <w:color w:val="000000"/>
          <w:sz w:val="24"/>
        </w:rPr>
        <w:t>Facilities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31,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13/14,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681–701,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2013.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DOI: </w:t>
      </w:r>
      <w:r>
        <w:br/>
      </w:r>
      <w:r>
        <w:rPr>
          <w:rFonts w:ascii="LMMono12" w:hAnsi="LMMono12" w:eastAsia="LMMono12"/>
          <w:b w:val="0"/>
          <w:i w:val="0"/>
          <w:color w:val="0000FF"/>
          <w:sz w:val="24"/>
        </w:rPr>
        <w:hyperlink r:id="rId91" w:history="1">
          <w:r>
            <w:rPr>
              <w:rStyle w:val="Hyperlink"/>
            </w:rPr>
            <w:t>10.1108/F-06-2012-0042</w:t>
          </w:r>
        </w:hyperlink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38" w:lineRule="exact" w:before="348" w:after="0"/>
        <w:ind w:left="0" w:right="4470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25</w:t>
      </w:r>
    </w:p>
    <w:p>
      <w:pPr>
        <w:sectPr>
          <w:pgSz w:w="11906" w:h="16838"/>
          <w:pgMar w:top="878" w:right="1082" w:bottom="24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6"/>
        <w:ind w:left="0" w:right="0"/>
      </w:pPr>
    </w:p>
    <w:p>
      <w:pPr>
        <w:autoSpaceDN w:val="0"/>
        <w:autoSpaceDE w:val="0"/>
        <w:widowControl/>
        <w:spacing w:line="276" w:lineRule="exact" w:before="0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TAN,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Adeline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Zhu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Teng;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ZAMAN,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Atiq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Uz;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SUTRISNA,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Monty.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Enabling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effective 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knowledge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information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flow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between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phases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building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construction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 xml:space="preserve">facilities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management.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Facilities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36,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3/4,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151–170,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2018.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DOI:</w:t>
      </w:r>
      <w:r>
        <w:rPr>
          <w:rFonts w:ascii="LMMono12" w:hAnsi="LMMono12" w:eastAsia="LMMono12"/>
          <w:b w:val="0"/>
          <w:i w:val="0"/>
          <w:color w:val="0000FF"/>
          <w:sz w:val="24"/>
        </w:rPr>
        <w:hyperlink r:id="rId92" w:history="1">
          <w:r>
            <w:rPr>
              <w:rStyle w:val="Hyperlink"/>
            </w:rPr>
            <w:t>10.1108/F-03-2016-0028</w:t>
          </w:r>
        </w:hyperlink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96" w:lineRule="exact" w:before="84" w:after="0"/>
        <w:ind w:left="254" w:right="432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WHITTEMORE,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Robin;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KNAFL,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Kathleen.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integrative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review: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updated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methodology.</w:t>
      </w:r>
      <w:r>
        <w:rPr>
          <w:rFonts w:ascii="LMRoman12" w:hAnsi="LMRoman12" w:eastAsia="LMRoman12"/>
          <w:b/>
          <w:i w:val="0"/>
          <w:color w:val="000000"/>
          <w:sz w:val="24"/>
        </w:rPr>
        <w:t>Journal</w:t>
      </w:r>
      <w:r>
        <w:rPr>
          <w:rFonts w:ascii="LMRoman12" w:hAnsi="LMRoman12" w:eastAsia="LMRoman12"/>
          <w:b/>
          <w:i w:val="0"/>
          <w:color w:val="000000"/>
          <w:sz w:val="24"/>
        </w:rPr>
        <w:t>of</w:t>
      </w:r>
      <w:r>
        <w:rPr>
          <w:rFonts w:ascii="LMRoman12" w:hAnsi="LMRoman12" w:eastAsia="LMRoman12"/>
          <w:b/>
          <w:i w:val="0"/>
          <w:color w:val="000000"/>
          <w:sz w:val="24"/>
        </w:rPr>
        <w:t>Advanced</w:t>
      </w:r>
      <w:r>
        <w:rPr>
          <w:rFonts w:ascii="LMRoman12" w:hAnsi="LMRoman12" w:eastAsia="LMRoman12"/>
          <w:b/>
          <w:i w:val="0"/>
          <w:color w:val="000000"/>
          <w:sz w:val="24"/>
        </w:rPr>
        <w:t>Nursing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52,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5,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546–553,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2005.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DOI: </w:t>
      </w:r>
      <w:r>
        <w:rPr>
          <w:rFonts w:ascii="LMMono12" w:hAnsi="LMMono12" w:eastAsia="LMMono12"/>
          <w:b w:val="0"/>
          <w:i w:val="0"/>
          <w:color w:val="0000FF"/>
          <w:sz w:val="24"/>
        </w:rPr>
        <w:hyperlink r:id="rId93" w:history="1">
          <w:r>
            <w:rPr>
              <w:rStyle w:val="Hyperlink"/>
            </w:rPr>
            <w:t>10.1111/j.1365-2648.2005.03621.x</w:t>
          </w:r>
        </w:hyperlink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94" w:lineRule="exact" w:before="84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YOON,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Jong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Han;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Sung.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Optimal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Strategy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Commercial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Office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Buildings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Fuzzy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Synthetic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Evaluation.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Journal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Performance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 xml:space="preserve">Constructed </w:t>
      </w:r>
      <w:r>
        <w:rPr>
          <w:rFonts w:ascii="LMRoman12" w:hAnsi="LMRoman12" w:eastAsia="LMRoman12"/>
          <w:b/>
          <w:i w:val="0"/>
          <w:color w:val="000000"/>
          <w:sz w:val="24"/>
        </w:rPr>
        <w:t>Facilities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32,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04018025,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2018.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DOI:</w:t>
      </w:r>
      <w:r>
        <w:rPr>
          <w:rFonts w:ascii="LMMono12" w:hAnsi="LMMono12" w:eastAsia="LMMono12"/>
          <w:b w:val="0"/>
          <w:i w:val="0"/>
          <w:color w:val="0000FF"/>
          <w:sz w:val="24"/>
        </w:rPr>
        <w:hyperlink r:id="rId94" w:history="1">
          <w:r>
            <w:rPr>
              <w:rStyle w:val="Hyperlink"/>
            </w:rPr>
            <w:t>10.1061/(ASCE)CF.1943-5509.0001176</w:t>
          </w:r>
        </w:hyperlink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38" w:lineRule="exact" w:before="11602" w:after="0"/>
        <w:ind w:left="0" w:right="448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26</w:t>
      </w:r>
    </w:p>
    <w:sectPr w:rsidR="00FC693F" w:rsidRPr="0006063C" w:rsidSect="00034616">
      <w:pgSz w:w="11906" w:h="16838"/>
      <w:pgMar w:top="878" w:right="1068" w:bottom="242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hyperlink" Target="https://doi.org/10.1108/IJLSS-09-2015-0035" TargetMode="External"/><Relationship Id="rId62" Type="http://schemas.openxmlformats.org/officeDocument/2006/relationships/hyperlink" Target="https://doi.org/10.3390/su14169955" TargetMode="External"/><Relationship Id="rId63" Type="http://schemas.openxmlformats.org/officeDocument/2006/relationships/hyperlink" Target="https://doi.org/10.21315/jcdc.2025.30.2.6" TargetMode="External"/><Relationship Id="rId64" Type="http://schemas.openxmlformats.org/officeDocument/2006/relationships/hyperlink" Target="https://doi.org/10.18607/ES201532557" TargetMode="External"/><Relationship Id="rId65" Type="http://schemas.openxmlformats.org/officeDocument/2006/relationships/hyperlink" Target="https://doi.org/10.18820/24150487/as24i2.4" TargetMode="External"/><Relationship Id="rId66" Type="http://schemas.openxmlformats.org/officeDocument/2006/relationships/hyperlink" Target="https://doi.org/10.1108/SS-02-2016-0007" TargetMode="External"/><Relationship Id="rId67" Type="http://schemas.openxmlformats.org/officeDocument/2006/relationships/hyperlink" Target="https://doi.org/10.1108/F-09-2018-0107" TargetMode="External"/><Relationship Id="rId68" Type="http://schemas.openxmlformats.org/officeDocument/2006/relationships/hyperlink" Target="https://www.crossref.org/documentation/retrieve-metadata/rest-api/" TargetMode="External"/><Relationship Id="rId69" Type="http://schemas.openxmlformats.org/officeDocument/2006/relationships/hyperlink" Target="https://doi.org/10.36680/j.itcon.2021.005" TargetMode="External"/><Relationship Id="rId70" Type="http://schemas.openxmlformats.org/officeDocument/2006/relationships/hyperlink" Target="https://doi.org/10.1016/j.jbusres.2021.04.070" TargetMode="External"/><Relationship Id="rId71" Type="http://schemas.openxmlformats.org/officeDocument/2006/relationships/hyperlink" Target="https://doi.org/10.1108/SASBE-07-2023-0170" TargetMode="External"/><Relationship Id="rId72" Type="http://schemas.openxmlformats.org/officeDocument/2006/relationships/hyperlink" Target="https://doi.org/10.1080/15732479.2019.1652657" TargetMode="External"/><Relationship Id="rId73" Type="http://schemas.openxmlformats.org/officeDocument/2006/relationships/hyperlink" Target="https://doi.org/10.1051/e3sconf/202342901002" TargetMode="External"/><Relationship Id="rId74" Type="http://schemas.openxmlformats.org/officeDocument/2006/relationships/hyperlink" Target="https://doi.org/10.3758/s13428-026-02961-x" TargetMode="External"/><Relationship Id="rId75" Type="http://schemas.openxmlformats.org/officeDocument/2006/relationships/hyperlink" Target="https://doi.org/10.1093/database/bat086" TargetMode="External"/><Relationship Id="rId76" Type="http://schemas.openxmlformats.org/officeDocument/2006/relationships/hyperlink" Target="https://doi.org/10.3130/jaabe.17.307" TargetMode="External"/><Relationship Id="rId77" Type="http://schemas.openxmlformats.org/officeDocument/2006/relationships/hyperlink" Target="https://doi.org/10.47179/abcustos.v19i1.719" TargetMode="External"/><Relationship Id="rId78" Type="http://schemas.openxmlformats.org/officeDocument/2006/relationships/hyperlink" Target="https://doi.org/10.1111/itor.70022" TargetMode="External"/><Relationship Id="rId79" Type="http://schemas.openxmlformats.org/officeDocument/2006/relationships/hyperlink" Target="https://doi.org/10.18830/issn.1679-0944.n34.2023.08" TargetMode="External"/><Relationship Id="rId80" Type="http://schemas.openxmlformats.org/officeDocument/2006/relationships/hyperlink" Target="https://doi.org/10.1016/j.buildenv.2019.106212" TargetMode="External"/><Relationship Id="rId81" Type="http://schemas.openxmlformats.org/officeDocument/2006/relationships/hyperlink" Target="https://doi.org/10.1061/JCEMD4.COENG-13154" TargetMode="External"/><Relationship Id="rId82" Type="http://schemas.openxmlformats.org/officeDocument/2006/relationships/hyperlink" Target="https://doi.org/10.56065/pdpyke84" TargetMode="External"/><Relationship Id="rId83" Type="http://schemas.openxmlformats.org/officeDocument/2006/relationships/hyperlink" Target="https://doi.org/10.1108/F-07-2014-0060" TargetMode="External"/><Relationship Id="rId84" Type="http://schemas.openxmlformats.org/officeDocument/2006/relationships/hyperlink" Target="https://doi.org/10.3390/su15043174" TargetMode="External"/><Relationship Id="rId85" Type="http://schemas.openxmlformats.org/officeDocument/2006/relationships/hyperlink" Target="https://doi.org/10.3390/su14031705" TargetMode="External"/><Relationship Id="rId86" Type="http://schemas.openxmlformats.org/officeDocument/2006/relationships/hyperlink" Target="https://doi.org/10.2478/otmcj-2023-0005" TargetMode="External"/><Relationship Id="rId87" Type="http://schemas.openxmlformats.org/officeDocument/2006/relationships/hyperlink" Target="https://doi.org/10.3390/su11247181" TargetMode="External"/><Relationship Id="rId88" Type="http://schemas.openxmlformats.org/officeDocument/2006/relationships/hyperlink" Target="https://doi.org/10.1108/IJBPA-07-2025-0169" TargetMode="External"/><Relationship Id="rId89" Type="http://schemas.openxmlformats.org/officeDocument/2006/relationships/hyperlink" Target="https://doi.org/10.1186/2046-4053-4-6" TargetMode="External"/><Relationship Id="rId90" Type="http://schemas.openxmlformats.org/officeDocument/2006/relationships/hyperlink" Target="https://doi.org/10.1016/j.jbusres.2019.07.039" TargetMode="External"/><Relationship Id="rId91" Type="http://schemas.openxmlformats.org/officeDocument/2006/relationships/hyperlink" Target="https://doi.org/10.1108/F-06-2012-0042" TargetMode="External"/><Relationship Id="rId92" Type="http://schemas.openxmlformats.org/officeDocument/2006/relationships/hyperlink" Target="https://doi.org/10.1108/F-03-2016-0028" TargetMode="External"/><Relationship Id="rId93" Type="http://schemas.openxmlformats.org/officeDocument/2006/relationships/hyperlink" Target="https://doi.org/10.1111/j.1365-2648.2005.03621.x" TargetMode="External"/><Relationship Id="rId94" Type="http://schemas.openxmlformats.org/officeDocument/2006/relationships/hyperlink" Target="https://doi.org/10.1061/(ASCE)CF.1943-5509.000117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