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(Lateef, Khamidi, and Idrus 2010; Barbosa et al. 2020). Nas universidades federais brasileiras, estudos registram fragmentação de cadastros, demanda acumulada, restrições orçamentárias e necessidade de integrar custos, ordens de serviço e condição dos ativos (Barbosa et al. 2020; Martins and Espejo 2024; Morais, Paula, and Reis 2023). A manutenção condiciona desempenho, segurança, durabilidade e continuidade dos serviços, em consonância com os requisitos de planejamento, controle e avaliação da NBR 5674 e com as responsabilidades administrativas do gestor público (Associação Brasileira de Normas Técnicas 2012; Araújo Neto 2015). Para orientar prioridades, porém, essas entradas precisam ser articuladas a condição física, risco, energia, impacto ambiental, experiência dos usuários, conformidade e capacidade institucional (Maia, Scheer, and Freitas 2016; Nägeli et al. 2019; Alfalah et al. 2022).</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and Galamba 2016; Opoku and Lee 2022; Okoro 2023).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Naji, Gunduz, and Maki 2023; Masmoudi et al. 2026).</w:t>
      </w:r>
    </w:p>
    <w:p>
      <w:pPr>
        <w:pStyle w:val="BodyText"/>
        <w:rPr/>
      </w:pPr>
      <w:r>
        <w:rPr/>
        <w:t>A literatura sustenta cinco correntes complementares que orientam a conversão dessa evidência em especificação operacional, com núcleo analítico, contribuição e lacuna de integração sintetizados na Tabela </w:t>
      </w:r>
      <w:hyperlink w:anchor="tab%3Acorrentesteoricas">
        <w:r>
          <w:rPr>
            <w:rStyle w:val="Hyperlink"/>
          </w:rPr>
          <w:t>1</w:t>
        </w:r>
      </w:hyperlink>
      <w:r>
        <w:rPr/>
        <w:t xml:space="preserve"> (Nägeli et al. 2019; Nielsen, Sarasoja, and Galamba 2016; Alfalah et al. 2022; Deng, Menassa, and Kamat 2021; Masmoudi et al. 2026). A corrente técnica-operacional deriva de ciclo de vida e confiabilidade do ativo (Nägeli et al. 2019; Othman and Kamal 2023; Chew and Conejos 2016; Conejos, Chew, and Azril 2019); a ambiental integra energia, emissões e efeitos intertemporais à gestão de facilidades (Nielsen, Sarasoja, and Galamba 2016; Opoku and Lee 2022; Okoro 2023);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(Deng, Menassa, and Kamat 2021; Espinosa Gispert et al. 2025; Goretti and Kaming 2023; Motuzienė et al. 2025; Wu and Mundt-Petersen 2025; Das 2025); e a de integração multicritério estrutura conflitos entre objetivos por AHP, TOPSIS, ANP, Delphi e lógica </w:t>
      </w:r>
      <w:r>
        <w:rPr>
          <w:i/>
          <w:iCs/>
        </w:rPr>
        <w:t>fuzzy</w:t>
      </w:r>
      <w:r>
        <w:rPr/>
        <w:t xml:space="preserve"> (Alfalah et al. 2022; Naji, Gunduz, and Maki 2023; Masmoudi et al. 2026).</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BIM, digital twin,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t>A literatura sobre digitalização e decisão ainda distribui integração de dados, previsão operacional, critérios de sustentabilidade e escolha multicritério em cadeias parciais (Deng, Menassa, and Kamat 2021; Das 2025; Alfalah et al. 2022; Masmoudi et al. 2026). Ferramentas informacionais e preditivas produzem dados, diagnósticos e estimativas, mas a conexão entre essa produção e uma decisão administrativa validada permanece fragmentada. Este artigo estabelece uma conexão rastreável entre evidência científica, dimensão, critério, indicador observável, parametrização multicritério futura, veto não compensatório e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(Whittemore and Knafl 2005; Snyder 2019).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bookmarkEnd w:id="3"/>
      <w:r>
        <w:rPr/>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w:t>
      </w:r>
      <w:hyperlink w:anchor="sec%3Apanorama">
        <w:r>
          <w:rPr>
            <w:rStyle w:val="Hyperlink"/>
          </w:rPr>
          <w:t>3.1</w:t>
        </w:r>
      </w:hyperlink>
      <w:r>
        <w:rPr/>
        <w:t>).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w:t>
      </w:r>
      <w:hyperlink w:anchor="tab%3Aglossariocamadas">
        <w:r>
          <w:rPr>
            <w:rStyle w:val="Hyperlink"/>
          </w:rPr>
          <w:t>2</w:t>
        </w:r>
      </w:hyperlink>
      <w:r>
        <w:rPr/>
        <w:t xml:space="preserve"> padroniza os rótulos usados no artigo e evita que diferentes etapas sejam tratadas como um único conjunto.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t>A Tabela </w:t>
      </w:r>
      <w:hyperlink w:anchor="tab%3Aalinhamentorq">
        <w:r>
          <w:rPr>
            <w:rStyle w:val="Hyperlink"/>
          </w:rPr>
          <w:t>3</w:t>
        </w:r>
      </w:hyperlink>
      <w:r>
        <w:rPr/>
        <w:t xml:space="preserve">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7.</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8.</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bookmarkStart w:id="4" w:name="conjuntos-analíticos"/>
      <w:bookmarkStart w:id="5" w:name="conjuntos-analíticos"/>
      <w:bookmarkEnd w:id="5"/>
    </w:p>
    <w:p>
      <w:pPr>
        <w:pStyle w:val="Heading2"/>
        <w:rPr/>
      </w:pPr>
      <w:bookmarkStart w:id="6" w:name="estratégia-de-busca"/>
      <w:bookmarkEnd w:id="6"/>
      <w:r>
        <w:rPr/>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w:t>
      </w:r>
      <w:hyperlink w:anchor="tab%3Aestrategiabusca">
        <w:r>
          <w:rPr>
            <w:rStyle w:val="Hyperlink"/>
          </w:rPr>
          <w:t>4</w:t>
        </w:r>
      </w:hyperlink>
      <w:r>
        <w:rPr/>
        <w:t>). A soma de 18.846 ocorrências entre as duas rodadas corresponde apenas ao volume operacional antes da deduplicação e não constitui corpus homogêneo, porque a busca de sensibilidade foi deliberadamente enriquecida para IA e aprendizado de máquina.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(lr)1-6</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bl>
    <w:p>
      <w:pPr>
        <w:pStyle w:val="Normal"/>
        <w:rPr/>
      </w:pPr>
      <w:r>
        <w:rPr/>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w:t>
      </w:r>
      <w:hyperlink w:anchor="tab%3Acriteriosincluexclu">
        <w:r>
          <w:rPr>
            <w:rStyle w:val="Hyperlink"/>
          </w:rPr>
          <w:t>5</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universidades, campus, edifícios públicos, escolas, hospitais e outras tipologias.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bookmarkStart w:id="7" w:name="estratégia-de-busca"/>
      <w:bookmarkStart w:id="8" w:name="estratégia-de-busca"/>
      <w:bookmarkEnd w:id="8"/>
    </w:p>
    <w:p>
      <w:pPr>
        <w:pStyle w:val="Heading2"/>
        <w:rPr/>
      </w:pPr>
      <w:bookmarkStart w:id="9" w:name="X961280b3a45a67e41e71da47b94b36fd32344d7"/>
      <w:r>
        <w:rPr/>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consultas de origem e identificadores brutos, mantendo o resumo mais longo disponível e selecionando os demais metadados por completude e prioridade de fonte.</w:t>
      </w:r>
    </w:p>
    <w:p>
      <w:pPr>
        <w:pStyle w:val="BodyText"/>
        <w:rPr/>
      </w:pPr>
      <w:bookmarkStart w:id="10"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10"/>
    </w:p>
    <w:p>
      <w:pPr>
        <w:pStyle w:val="Heading2"/>
        <w:rPr/>
      </w:pPr>
      <w:bookmarkStart w:id="11" w:name="triagem-e-auditoria"/>
      <w:r>
        <w:rPr/>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w:t>
      </w:r>
      <w:hyperlink w:anchor="tab%3Afunilselecao">
        <w:r>
          <w:rPr>
            <w:rStyle w:val="Hyperlink"/>
          </w:rPr>
          <w:t>6</w:t>
        </w:r>
      </w:hyperlink>
      <w:r>
        <w:rPr/>
        <w:t xml:space="preserve"> preserva a rastreabilidade da busca principal até o núcleo original de 104 registros, e a Figura </w:t>
      </w:r>
      <w:hyperlink w:anchor="fig%3Afunil">
        <w:r>
          <w:rPr>
            <w:rStyle w:val="Hyperlink"/>
          </w:rPr>
          <w:t>1</w:t>
        </w:r>
      </w:hyperlink>
      <w:r>
        <w:rPr/>
        <w:t xml:space="preserve"> integra esse percurso à busca de sensibilidade, explicitando a convergência no núcleo temático vigente de 121 registros.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2"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2"/>
    </w:p>
    <w:p>
      <w:pPr>
        <w:pStyle w:val="Heading2"/>
        <w:rPr/>
      </w:pPr>
      <w:bookmarkStart w:id="13" w:name="sec%3Abuscaia"/>
      <w:r>
        <w:rPr/>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w:t>
      </w:r>
      <w:hyperlink w:anchor="tab%3Aestrategiabusca">
        <w:r>
          <w:rPr>
            <w:rStyle w:val="Hyperlink"/>
          </w:rPr>
          <w:t>4</w:t>
        </w:r>
      </w:hyperlink>
      <w:r>
        <w:rPr/>
        <w:t>).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(Deng, Menassa, and Kamat 2021; Das 2025). Os 4.889 registros foram classificados, sem amostragem, em seis classes de evidência, com nível de confiança rebaixado por definição para registros sem resumo, concentrados no Crossref.</w:t>
      </w:r>
    </w:p>
    <w:p>
      <w:pPr>
        <w:pStyle w:val="BodyText"/>
        <w:rPr/>
      </w:pPr>
      <w:bookmarkStart w:id="14"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4"/>
    </w:p>
    <w:p>
      <w:pPr>
        <w:pStyle w:val="Heading2"/>
        <w:rPr/>
      </w:pPr>
      <w:bookmarkStart w:id="15" w:name="reprodutibilidade-e-limites-da-automação"/>
      <w:r>
        <w:rPr/>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6" w:name="sec%3Ametodo"/>
      <w:bookmarkStart w:id="17" w:name="reprodutibilidade-e-limites-da-automação"/>
      <w:r>
        <w:rPr/>
        <w:t>Na preparação deste manuscrito para submissão, utilizou-se a ferramenta Claude (Claude Code, Anthropic, modelo Claude Sonnet 5) exclusivamente na revisão ortográfica, textual e de adequação formal às normas editoriais do periódico, sem uso na concepção, coleta, análise ou geração de conteúdo científico.</w:t>
      </w:r>
      <w:bookmarkEnd w:id="16"/>
      <w:bookmarkEnd w:id="17"/>
    </w:p>
    <w:p>
      <w:pPr>
        <w:pStyle w:val="Heading1"/>
        <w:rPr/>
      </w:pPr>
      <w:bookmarkStart w:id="18" w:name="sec%3Aresultados"/>
      <w:r>
        <w:rPr/>
        <w:t>Resultados e discussão</w:t>
      </w:r>
    </w:p>
    <w:p>
      <w:pPr>
        <w:pStyle w:val="Heading2"/>
        <w:rPr/>
      </w:pPr>
      <w:bookmarkStart w:id="19" w:name="sec%3Apanorama"/>
      <w:r>
        <w:rPr/>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w:t>
      </w:r>
      <w:hyperlink w:anchor="sec%3Abuscaia">
        <w:r>
          <w:rPr>
            <w:rStyle w:val="Hyperlink"/>
          </w:rPr>
          <w:t>2.5</w:t>
        </w:r>
      </w:hyperlink>
      <w:r>
        <w:rPr/>
        <w:t>). Entre 2019 e 2026 concentram-se 101 registros (83,5%), com máximo de 29 estudos em 2025 (Gráfico </w:t>
      </w:r>
      <w:hyperlink w:anchor="fig%3Atemporal">
        <w:r>
          <w:rPr>
            <w:rStyle w:val="Hyperlink"/>
          </w:rPr>
          <w:t>2</w:t>
        </w:r>
      </w:hyperlink>
      <w:r>
        <w:rPr/>
        <w:t>). A deduplicação preservou a proveniência múltipla. Sessenta e sete registros vieram apenas da Scopus, 41 da Scopus e da Web of Science, sete apenas da Web of Science, três das três bases, dois da Scopus e do Crossref e um apenas do Crossref (Tabela </w:t>
      </w:r>
      <w:hyperlink w:anchor="tab%3Abasetipo">
        <w:r>
          <w:rPr>
            <w:rStyle w:val="Hyperlink"/>
          </w:rPr>
          <w:t>7</w:t>
        </w:r>
      </w:hyperlink>
      <w:r>
        <w:rPr/>
        <w:t>).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w:t>
      </w:r>
      <w:hyperlink w:anchor="tab%3Abasetipo">
        <w:r>
          <w:rPr>
            <w:rStyle w:val="Hyperlink"/>
          </w:rPr>
          <w:t>7</w:t>
        </w:r>
      </w:hyperlink>
      <w:r>
        <w:rPr/>
        <w:t xml:space="preserve">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Journal, JOUR e journal-article.</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Conference Proceeding e CPAPER.</w:t>
            </w:r>
          </w:p>
        </w:tc>
      </w:tr>
      <w:tr>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Book Series e Book.</w:t>
            </w:r>
          </w:p>
        </w:tc>
      </w:tr>
    </w:tbl>
    <w:p>
      <w:pPr>
        <w:pStyle w:val="Normal"/>
        <w:rPr/>
      </w:pPr>
      <w:r>
        <w:rPr/>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O Gráfico </w:t>
      </w:r>
      <w:hyperlink w:anchor="fig%3Afontes372">
        <w:r>
          <w:rPr>
            <w:rStyle w:val="Hyperlink"/>
          </w:rPr>
          <w:t>3</w:t>
        </w:r>
      </w:hyperlink>
      <w:r>
        <w:rPr/>
        <w:t xml:space="preserve">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 Fontes mais frequentes no corpus bibliométrico ampliado</w:t>
      </w:r>
    </w:p>
    <w:p>
      <w:pPr>
        <w:pStyle w:val="BodyText"/>
        <w:rPr/>
      </w:pPr>
      <w:r>
        <w:rPr/>
        <w:t>O mapa temático (Gráfico </w:t>
      </w:r>
      <w:hyperlink w:anchor="fig%3Amapatematico372">
        <w:r>
          <w:rPr>
            <w:rStyle w:val="Hyperlink"/>
          </w:rPr>
          <w:t>4</w:t>
        </w:r>
      </w:hyperlink>
      <w:r>
        <w:rPr/>
        <w:t xml:space="preserve">)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 Mapa temático por centralidade e densidade das palavras-chave</w:t>
      </w:r>
    </w:p>
    <w:p>
      <w:pPr>
        <w:pStyle w:val="BodyText"/>
        <w:rPr/>
      </w:pPr>
      <w:r>
        <w:rPr/>
        <w:t>A rede normalizada (Gráfico </w:t>
      </w:r>
      <w:hyperlink w:anchor="fig%3Aredecor372">
        <w:r>
          <w:rPr>
            <w:rStyle w:val="Hyperlink"/>
          </w:rPr>
          <w:t>5</w:t>
        </w:r>
      </w:hyperlink>
      <w:r>
        <w:rPr/>
        <w:t xml:space="preserve">)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 Rede normalizada de coocorrência de palavras-chave</w:t>
      </w:r>
    </w:p>
    <w:p>
      <w:pPr>
        <w:pStyle w:val="BodyText"/>
        <w:rPr/>
      </w:pPr>
      <w:r>
        <w:rPr/>
        <w:t>A comparação temporal (Gráfico </w:t>
      </w:r>
      <w:hyperlink w:anchor="fig%3Aevolucaotematica372">
        <w:r>
          <w:rPr>
            <w:rStyle w:val="Hyperlink"/>
          </w:rPr>
          <w:t>6</w:t>
        </w:r>
      </w:hyperlink>
      <w:r>
        <w:rPr/>
        <w:t xml:space="preserve">)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9"/>
    </w:p>
    <w:p>
      <w:pPr>
        <w:pStyle w:val="Heading2"/>
        <w:rPr/>
      </w:pPr>
      <w:bookmarkStart w:id="20" w:name="sec%3Acriterios"/>
      <w:r>
        <w:rPr/>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and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Quanto aos critérios de priorização, desempenho operacional apareceu em 99 registros, informação e dados em 82, custo em 63 e energia e vida útil em 44 cada, com os demais critérios técnicos, sociais e ambientais listados na Tabela </w:t>
      </w:r>
      <w:hyperlink w:anchor="tab%3Acriteriospriorizacao">
        <w:r>
          <w:rPr>
            <w:rStyle w:val="Hyperlink"/>
          </w:rPr>
          <w:t>8</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bookmarkStart w:id="21"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(Othman and Kamal 2023; Chew and Conejos 2016; Conejos, Chew, and Azril 2019).</w:t>
      </w:r>
      <w:bookmarkEnd w:id="21"/>
    </w:p>
    <w:p>
      <w:pPr>
        <w:pStyle w:val="Heading2"/>
        <w:rPr/>
      </w:pPr>
      <w:bookmarkStart w:id="22" w:name="sec%3Ametodos"/>
      <w:r>
        <w:rPr/>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and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and Mundt-Petersen 2025), e consumo de eletricidade, gás e água com conjuntos separados de treinamento, validação e teste (Suh and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and Kamat 2021), e outros trabalhos desenvolveram ontologia de ativos, BIM 7D e comparação de estratégias por simulação (Espinosa Gispert et al. 2025; Goretti and Kaming 2023; Ferreira et al. 2020). No plano decisório, aparecem Lean Six Sigma, avaliação sintética fuzzy e raciocínio baseado em casos com Fuzzy-AHP (Aldairi, Khan, and Munive-Hernandez 2017; Yoon and Cha 2018; Park, Kwon, and Ahn 2019),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(Deng, Menassa, and Kamat 2021; Das 2025). Estruturas conceituais, indicadores, normalização, ponderação, agregação, sensibilidade e validação ocupam etapas distintas, e a transferência das aplicações de ANP, Delphi, AHP e TOPSIS à gestão universitária depende do contexto e dos dados locais. Nessa leitura,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and Espejo 2024; Morais, Paula, and Reis 2023).</w:t>
      </w:r>
      <w:bookmarkEnd w:id="22"/>
    </w:p>
    <w:p>
      <w:pPr>
        <w:pStyle w:val="Heading2"/>
        <w:rPr/>
      </w:pPr>
      <w:bookmarkStart w:id="23" w:name="sec%3Aaplicabilidade"/>
      <w:r>
        <w:rPr/>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w:t>
      </w:r>
      <w:hyperlink w:anchor="tab%3Acontexto">
        <w:r>
          <w:rPr>
            <w:rStyle w:val="Hyperlink"/>
          </w:rPr>
          <w:t>9</w:t>
        </w:r>
      </w:hyperlink>
      <w:r>
        <w:rPr/>
        <w:t>).</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(Lateef, Khamidi, and Idrus 2010; Barbosa et al. 2020), e outros trabalhos identificaram fatores críticos em universidades (Awuzie and Isa 2017), critérios ambientais, econômicos e sociais em edifícios educacionais (Alfalah et al. 2022), indicadores operacionais de </w:t>
      </w:r>
      <w:r>
        <w:rPr>
          <w:i/>
          <w:iCs/>
        </w:rPr>
        <w:t>campus</w:t>
      </w:r>
      <w:r>
        <w:rPr/>
        <w:t xml:space="preserve"> (Naji, Gunduz, and Maki 2023) e previsão orçamentária apoiada em ordens de serviço (Martins and Espejo 2024; Morais, Paula, and Reis 2023). No contexto das universidades federais brasileiras, esse conjunto reforça a prioridade de cadastros consistentes, fonte e data dos dados, unidade comparada, regras de veto e histórico dos parâmetros, elementos indispensáveis à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 Nesse cenário orçamentário, a ausência de critérios documentados tende a penalizar as intervenções preventivas, que carecem da urgência visível dos reparos corretivos.</w:t>
      </w:r>
    </w:p>
    <w:p>
      <w:pPr>
        <w:pStyle w:val="BodyText"/>
        <w:rPr/>
      </w:pPr>
      <w:r>
        <w:rPr/>
        <w:t>Contextos africanos acrescentam resiliência, governança, usuários e continuidade acadêmica à condição física (Awuzie and Isa 2017; Ndukuba 2025), hipóteses de transferência para validação brasileira. Em texto completo, um instrumento estrangeiro exigiu adaptação para aplicação em hospital público (Talib, Rajagopalan, and Yang 2013), e outros três projetos identificaram perdas de informação entre construção e operação, recorrendo ao BIM, à entrega suave (</w:t>
      </w:r>
      <w:r>
        <w:rPr>
          <w:i/>
          <w:iCs/>
        </w:rPr>
        <w:t>Soft Landings</w:t>
      </w:r>
      <w:r>
        <w:rPr/>
        <w:t>) e à comunicação (Tan, Zaman, and Sutrisna 2018). Essas evidências sustentam governança da informação e validação contextual da especificação proposta a seguir.</w:t>
      </w:r>
      <w:bookmarkEnd w:id="23"/>
    </w:p>
    <w:p>
      <w:pPr>
        <w:pStyle w:val="Heading2"/>
        <w:rPr/>
      </w:pPr>
      <w:bookmarkStart w:id="24" w:name="sec%3Amatriz"/>
      <w:r>
        <w:rPr/>
        <w:t>Da evidência à especificação operacional</w:t>
      </w:r>
    </w:p>
    <w:p>
      <w:pPr>
        <w:pStyle w:val="FirstParagraph"/>
        <w:rPr/>
      </w:pPr>
      <w:r>
        <w:rPr/>
        <w:t>O Gráfico </w:t>
      </w:r>
      <w:hyperlink w:anchor="fig%3Aheatmap">
        <w:r>
          <w:rPr>
            <w:rStyle w:val="Hyperlink"/>
          </w:rPr>
          <w:t>9</w:t>
        </w:r>
      </w:hyperlink>
      <w:r>
        <w:rPr/>
        <w:t xml:space="preserve">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 Coocorrência entre critérios de priorização e instrumentos de apoio à decisão</w:t>
      </w:r>
    </w:p>
    <w:p>
      <w:pPr>
        <w:pStyle w:val="BodyText"/>
        <w:rPr/>
      </w:pPr>
      <w:r>
        <w:rPr/>
        <w:t>O Gráfico </w:t>
      </w:r>
      <w:hyperlink w:anchor="fig%3Amatrizanalitica">
        <w:r>
          <w:rPr>
            <w:rStyle w:val="Hyperlink"/>
          </w:rPr>
          <w:t>10</w:t>
        </w:r>
      </w:hyperlink>
      <w:r>
        <w:rPr/>
        <w:t xml:space="preserve">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w:t>
      </w:r>
      <w:hyperlink w:anchor="tab%3Aprotocolooperacional">
        <w:r>
          <w:rPr>
            <w:rStyle w:val="Hyperlink"/>
          </w:rPr>
          <w:t>10</w:t>
        </w:r>
      </w:hyperlink>
      <w:r>
        <w:rPr/>
        <w:t xml:space="preserve"> liga critérios candidatos às evidências da revisão, e a Tabela </w:t>
      </w:r>
      <w:hyperlink w:anchor="tab%3Aespecificacaoindicadores">
        <w:r>
          <w:rPr>
            <w:rStyle w:val="Hyperlink"/>
          </w:rPr>
          <w:t>11</w:t>
        </w:r>
      </w:hyperlink>
      <w:r>
        <w:rPr/>
        <w:t xml:space="preserve"> apresenta, em plano separado, indicadores, fontes, periodicidades e direções propostos pelo autor para validação.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em 82 registros, BIM em 28 e digital twin em 11. Perdas de informação foram observadas por Tan, Zaman, and Sutrisna (2018).</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and Kamal (2023).</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and Yang (2013) aponta a necessidade de adaptação contextual.</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t>A Figura </w:t>
      </w:r>
      <w:hyperlink w:anchor="fig%3Afluxoprotocolo">
        <w:r>
          <w:rPr>
            <w:rStyle w:val="Hyperlink"/>
          </w:rPr>
          <w:t>11</w:t>
        </w:r>
      </w:hyperlink>
      <w:r>
        <w:rPr/>
        <w:t xml:space="preserve">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(Associação Brasileira de Normas Técnicas 2012; Araújo Neto 2015); o ciclo de vida permanece transversal para evitar dupla contagem.</w:t>
      </w:r>
    </w:p>
    <w:p>
      <w:pPr>
        <w:pStyle w:val="BodyText"/>
        <w:rPr/>
      </w:pPr>
      <w:bookmarkStart w:id="25" w:name="sec%3Aresultados"/>
      <w:bookmarkStart w:id="26"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 cadeia entre evidência científica, dimensão, critério, indicador observável, parametrização multicritério futura, veto não compensatório e decisão pública rastreável.</w:t>
      </w:r>
      <w:bookmarkEnd w:id="25"/>
      <w:bookmarkEnd w:id="26"/>
    </w:p>
    <w:p>
      <w:pPr>
        <w:pStyle w:val="Heading1"/>
        <w:rPr/>
      </w:pPr>
      <w:bookmarkStart w:id="27" w:name="sec%3Aconsideracoes"/>
      <w:r>
        <w:rPr/>
        <w:t>Considerações finais</w:t>
      </w:r>
    </w:p>
    <w:p>
      <w:pPr>
        <w:pStyle w:val="FirstParagraph"/>
        <w:rPr/>
      </w:pPr>
      <w:r>
        <w:rPr/>
        <w:t xml:space="preserve">A pergunta central foi respondida pela integração de duas camadas parcialmente sobrepostas. O mapeamento bibliométrico identificou transição de eficiência, desempenho e edificações verdes para BIM, </w:t>
      </w:r>
      <w:r>
        <w:rPr>
          <w:i/>
          <w:iCs/>
        </w:rPr>
        <w:t>digital twins</w:t>
      </w:r>
      <w:r>
        <w:rPr/>
        <w:t>,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científica, dimensão, critério, indicador observável, parametrização multicritério futura, veto não compensatório e decisão pública rastreável.</w:t>
      </w:r>
    </w:p>
    <w:p>
      <w:pPr>
        <w:pStyle w:val="BodyText"/>
        <w:rPr/>
      </w:pPr>
      <w:r>
        <w:rPr/>
        <w:t xml:space="preserve">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qualidade dos dados, normalização, ponderação, agregação, vetos candidatos e sensibilidade. A revisão sustenta os critérios; os indicadores e suas parametrizações permanecem proposições autorais para validação, e a definição de normalização, pesos, agregação e limiares dos vetos candidatos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para justificar cada investimento por critérios documentados e auditáveis, convertendo a priorização da manutenção de resposta improvisada em prática de governança e valor público.</w:t>
      </w:r>
    </w:p>
    <w:p>
      <w:pPr>
        <w:pStyle w:val="Heading1"/>
        <w:rPr/>
      </w:pPr>
      <w:bookmarkStart w:id="28" w:name="refs"/>
      <w:bookmarkStart w:id="29" w:name="ref-aldairi_lean6sbm_2017"/>
      <w:r>
        <w:rPr/>
        <w:t>Referências</w:t>
      </w:r>
    </w:p>
    <w:p>
      <w:pPr>
        <w:pStyle w:val="Bibliography"/>
        <w:rPr/>
      </w:pPr>
      <w:r>
        <w:rPr/>
        <w:t xml:space="preserve">Aldairi, Jasim, M. K. Khan, and J. Eduardo Munive-Hernandez. 2017. “Knowledge-Based Lean Six Sigma Maintenance System for Sustainable Buildings.” </w:t>
      </w:r>
      <w:r>
        <w:rPr>
          <w:i/>
          <w:iCs/>
        </w:rPr>
        <w:t>International Journal of Lean Six Sigma</w:t>
      </w:r>
      <w:r>
        <w:rPr/>
        <w:t xml:space="preserve"> 8 (1): 109–30. </w:t>
      </w:r>
      <w:hyperlink r:id="rId13">
        <w:r>
          <w:rPr>
            <w:rStyle w:val="Hyperlink"/>
          </w:rPr>
          <w:t>https://doi.org/10.1108/IJLSS-09-2015-0035</w:t>
        </w:r>
      </w:hyperlink>
      <w:r>
        <w:rPr/>
        <w:t>.</w:t>
      </w:r>
      <w:bookmarkEnd w:id="29"/>
    </w:p>
    <w:p>
      <w:pPr>
        <w:pStyle w:val="Bibliography"/>
        <w:rPr/>
      </w:pPr>
      <w:bookmarkStart w:id="30" w:name="ref-alfalah_frameworkeducacional_2022"/>
      <w:r>
        <w:rPr/>
        <w:t xml:space="preserve">Alfalah, Ghasan, Abobakr Al-Sakkaf, Eslam Mohammed Abdelkader, and Tarek Zayed. 2022. “An Integrated Fuzzy-Based Sustainability Framework for Post-Secondary Educational Buildings: A User-Perspective Approach.” </w:t>
      </w:r>
      <w:r>
        <w:rPr>
          <w:i/>
          <w:iCs/>
        </w:rPr>
        <w:t>Sustainability</w:t>
      </w:r>
      <w:r>
        <w:rPr/>
        <w:t xml:space="preserve"> 14 (16): 9955. </w:t>
      </w:r>
      <w:hyperlink r:id="rId14">
        <w:r>
          <w:rPr>
            <w:rStyle w:val="Hyperlink"/>
          </w:rPr>
          <w:t>https://doi.org/10.3390/su14169955</w:t>
        </w:r>
      </w:hyperlink>
      <w:r>
        <w:rPr/>
        <w:t>.</w:t>
      </w:r>
      <w:bookmarkEnd w:id="30"/>
    </w:p>
    <w:p>
      <w:pPr>
        <w:pStyle w:val="Bibliography"/>
        <w:rPr/>
      </w:pPr>
      <w:bookmarkStart w:id="31" w:name="ref-alici_iotambientes_2026"/>
      <w:r>
        <w:rPr/>
        <w:t xml:space="preserve">Alici, Nedim. 2026. “IoT-Enabled Indoor Environments in Smart Cities: A Systematic Review on Energy Efficiency, User Comfort, and Environmental Sustainability.” </w:t>
      </w:r>
      <w:r>
        <w:rPr>
          <w:i/>
          <w:iCs/>
        </w:rPr>
        <w:t>Frontiers in Sustainability</w:t>
      </w:r>
      <w:r>
        <w:rPr/>
        <w:t xml:space="preserve"> 7: 1751337. </w:t>
      </w:r>
      <w:hyperlink r:id="rId15">
        <w:r>
          <w:rPr>
            <w:rStyle w:val="Hyperlink"/>
          </w:rPr>
          <w:t>https://doi.org/10.3389/frsus.2026.1751337</w:t>
        </w:r>
      </w:hyperlink>
      <w:r>
        <w:rPr/>
        <w:t>.</w:t>
      </w:r>
      <w:bookmarkEnd w:id="31"/>
    </w:p>
    <w:p>
      <w:pPr>
        <w:pStyle w:val="Bibliography"/>
        <w:rPr/>
      </w:pPr>
      <w:bookmarkStart w:id="32" w:name="ref-aliu_barreirasdt_2025"/>
      <w:r>
        <w:rPr/>
        <w:t xml:space="preserve">Aliu, Abdulmalik Adozuka, Nor Rima Muhamad Ariff, Sheikh Ali Azzran Sh Said, Divine Senanu Ametefe, and Dah John. 2025. “Barriers to Digital Transformation in Facilities Management: Insights from a Developing Country.” </w:t>
      </w:r>
      <w:r>
        <w:rPr>
          <w:i/>
          <w:iCs/>
        </w:rPr>
        <w:t>Journal of Construction in Developing Countries</w:t>
      </w:r>
      <w:r>
        <w:rPr/>
        <w:t xml:space="preserve"> 30 (2): 137–68. </w:t>
      </w:r>
      <w:hyperlink r:id="rId16">
        <w:r>
          <w:rPr>
            <w:rStyle w:val="Hyperlink"/>
          </w:rPr>
          <w:t>https://doi.org/10.21315/jcdc.2025.30.2.6</w:t>
        </w:r>
      </w:hyperlink>
      <w:r>
        <w:rPr/>
        <w:t>.</w:t>
      </w:r>
      <w:bookmarkEnd w:id="32"/>
    </w:p>
    <w:p>
      <w:pPr>
        <w:pStyle w:val="Bibliography"/>
        <w:rPr/>
      </w:pPr>
      <w:bookmarkStart w:id="33" w:name="ref-araujoneto_manutencaolegislacao_2015"/>
      <w:r>
        <w:rPr/>
        <w:t xml:space="preserve">Araújo Neto, Paschoal Gavazza de. 2015. “A Manutenção Predial Nas Edificações Públicas, Um Estudo Sobre a Legislação.” </w:t>
      </w:r>
      <w:r>
        <w:rPr>
          <w:i/>
          <w:iCs/>
        </w:rPr>
        <w:t>E&amp;S Engineering and Science</w:t>
      </w:r>
      <w:r>
        <w:rPr/>
        <w:t xml:space="preserve"> 3 (1): 85–93. </w:t>
      </w:r>
      <w:hyperlink r:id="rId17">
        <w:r>
          <w:rPr>
            <w:rStyle w:val="Hyperlink"/>
          </w:rPr>
          <w:t>https://doi.org/10.18607/ES201532557</w:t>
        </w:r>
      </w:hyperlink>
      <w:r>
        <w:rPr/>
        <w:t>.</w:t>
      </w:r>
      <w:bookmarkEnd w:id="33"/>
    </w:p>
    <w:p>
      <w:pPr>
        <w:pStyle w:val="Bibliography"/>
        <w:rPr/>
      </w:pPr>
      <w:bookmarkStart w:id="34" w:name="ref-abnt_nbr5674_2012"/>
      <w:r>
        <w:rPr/>
        <w:t>Associação Brasileira de Normas Técnicas. 2012. “NBR 5674: Manutenção de Edificações, Requisitos Para o Sistema de Gestão de Manutenção.” Rio de Janeiro: ABNT.</w:t>
      </w:r>
      <w:bookmarkEnd w:id="34"/>
    </w:p>
    <w:p>
      <w:pPr>
        <w:pStyle w:val="Bibliography"/>
        <w:rPr/>
      </w:pPr>
      <w:bookmarkStart w:id="35" w:name="ref-awuzie_fmuniversidades_2017"/>
      <w:r>
        <w:rPr/>
        <w:t xml:space="preserve">Awuzie, Bankole Osita, and Rasheed Isa. 2017. “Stakeholders’ Perception of Critical Success Factors for Sustainable Facilities Management Practice in Universities in Sub-Saharan Africa.” </w:t>
      </w:r>
      <w:r>
        <w:rPr>
          <w:i/>
          <w:iCs/>
        </w:rPr>
        <w:t>Acta Structilia</w:t>
      </w:r>
      <w:r>
        <w:rPr/>
        <w:t xml:space="preserve"> 24 (2): 106–27. </w:t>
      </w:r>
      <w:hyperlink r:id="rId18">
        <w:r>
          <w:rPr>
            <w:rStyle w:val="Hyperlink"/>
          </w:rPr>
          <w:t>https://doi.org/10.18820/24150487/as24i2.4</w:t>
        </w:r>
      </w:hyperlink>
      <w:r>
        <w:rPr/>
        <w:t>.</w:t>
      </w:r>
      <w:bookmarkEnd w:id="35"/>
    </w:p>
    <w:p>
      <w:pPr>
        <w:pStyle w:val="Bibliography"/>
        <w:rPr/>
      </w:pPr>
      <w:bookmarkStart w:id="36" w:name="X8197757cb75e327dcc86b36afee00a28411c12b"/>
      <w:r>
        <w:rPr/>
        <w:t xml:space="preserve">Barbosa, Ana Maria da Silva, Taciana de Barros Jerônimo, Patrícia Tatiana Ferreira Ramos, and Juliana Karla Rodrigues de Souza Santos. 2020. “A Gestão de Facilities Na Manutenção de Uma Instituição Pública.” </w:t>
      </w:r>
      <w:r>
        <w:rPr>
          <w:i/>
          <w:iCs/>
        </w:rPr>
        <w:t>Revista Gestão Industrial</w:t>
      </w:r>
      <w:r>
        <w:rPr/>
        <w:t xml:space="preserve"> 16 (3): 129–46. </w:t>
      </w:r>
      <w:hyperlink r:id="rId19">
        <w:r>
          <w:rPr>
            <w:rStyle w:val="Hyperlink"/>
          </w:rPr>
          <w:t>https://doi.org/10.3895/gi.v16n3.8968</w:t>
        </w:r>
      </w:hyperlink>
      <w:r>
        <w:rPr/>
        <w:t>.</w:t>
      </w:r>
      <w:bookmarkEnd w:id="36"/>
    </w:p>
    <w:p>
      <w:pPr>
        <w:pStyle w:val="Bibliography"/>
        <w:rPr/>
      </w:pPr>
      <w:bookmarkStart w:id="37" w:name="ref-chew_manutenibilidadeverde_2016"/>
      <w:r>
        <w:rPr/>
        <w:t xml:space="preserve">Chew, Michael Yit Lin, and Sheila Conejos. 2016. “Developing a Green Maintainability Framework for Green Walls in Singapore.” </w:t>
      </w:r>
      <w:r>
        <w:rPr>
          <w:i/>
          <w:iCs/>
        </w:rPr>
        <w:t>Structural Survey</w:t>
      </w:r>
      <w:r>
        <w:rPr/>
        <w:t xml:space="preserve"> 34 (4/5): 379–406. </w:t>
      </w:r>
      <w:hyperlink r:id="rId20">
        <w:r>
          <w:rPr>
            <w:rStyle w:val="Hyperlink"/>
          </w:rPr>
          <w:t>https://doi.org/10.1108/SS-02-2016-0007</w:t>
        </w:r>
      </w:hyperlink>
      <w:r>
        <w:rPr/>
        <w:t>.</w:t>
      </w:r>
      <w:bookmarkEnd w:id="37"/>
    </w:p>
    <w:p>
      <w:pPr>
        <w:pStyle w:val="Bibliography"/>
        <w:rPr/>
      </w:pPr>
      <w:bookmarkStart w:id="38" w:name="ref-conejos_verticalgreenery_2019"/>
      <w:r>
        <w:rPr/>
        <w:t xml:space="preserve">Conejos, Sheila, Michael Yit Lin Chew, and Fikril Hakim Bin Azril. 2019. “Green Maintainability Assessment of High-Rise Vertical Greenery Systems.” </w:t>
      </w:r>
      <w:r>
        <w:rPr>
          <w:i/>
          <w:iCs/>
        </w:rPr>
        <w:t>Facilities</w:t>
      </w:r>
      <w:r>
        <w:rPr/>
        <w:t xml:space="preserve"> 37 (13/14): 1008–47. </w:t>
      </w:r>
      <w:hyperlink r:id="rId21">
        <w:r>
          <w:rPr>
            <w:rStyle w:val="Hyperlink"/>
          </w:rPr>
          <w:t>https://doi.org/10.1108/F-09-2018-0107</w:t>
        </w:r>
      </w:hyperlink>
      <w:r>
        <w:rPr/>
        <w:t>.</w:t>
      </w:r>
      <w:bookmarkEnd w:id="38"/>
    </w:p>
    <w:p>
      <w:pPr>
        <w:pStyle w:val="Bibliography"/>
        <w:rPr/>
      </w:pPr>
      <w:bookmarkStart w:id="39" w:name="ref-crossref_restapi_2026"/>
      <w:r>
        <w:rPr/>
        <w:t xml:space="preserve">Crossref. 2026. “REST API: Metadata Retrieval.” 2026. </w:t>
      </w:r>
      <w:hyperlink r:id="rId22">
        <w:r>
          <w:rPr>
            <w:rStyle w:val="Hyperlink"/>
          </w:rPr>
          <w:t>https://www.crossref.org/documentation/retrieve-metadata/rest-api/</w:t>
        </w:r>
      </w:hyperlink>
      <w:r>
        <w:rPr/>
        <w:t>.</w:t>
      </w:r>
      <w:bookmarkEnd w:id="39"/>
    </w:p>
    <w:p>
      <w:pPr>
        <w:pStyle w:val="Bibliography"/>
        <w:rPr/>
      </w:pPr>
      <w:bookmarkStart w:id="40" w:name="ref-das_iotai_2025"/>
      <w:r>
        <w:rPr/>
        <w:t xml:space="preserve">Das, Dillip Kumar. 2025. “Integrating IoT and AI for Sustainable Energy-Efficient Smart Building: Potential, Barriers and Strategic Pathways.” </w:t>
      </w:r>
      <w:r>
        <w:rPr>
          <w:i/>
          <w:iCs/>
        </w:rPr>
        <w:t>Sustainability</w:t>
      </w:r>
      <w:r>
        <w:rPr/>
        <w:t xml:space="preserve"> 17 (22): 10313. </w:t>
      </w:r>
      <w:hyperlink r:id="rId23">
        <w:r>
          <w:rPr>
            <w:rStyle w:val="Hyperlink"/>
          </w:rPr>
          <w:t>https://doi.org/10.3390/su172210313</w:t>
        </w:r>
      </w:hyperlink>
      <w:r>
        <w:rPr/>
        <w:t>.</w:t>
      </w:r>
      <w:bookmarkEnd w:id="40"/>
    </w:p>
    <w:p>
      <w:pPr>
        <w:pStyle w:val="Bibliography"/>
        <w:rPr/>
      </w:pPr>
      <w:bookmarkStart w:id="41" w:name="ref-deng_bimdigitaltwins_2021"/>
      <w:r>
        <w:rPr/>
        <w:t xml:space="preserve">Deng, Min, Carol C. Menassa, and Vineet R. Kamat. 2021. “From BIM to Digital Twins: A Systematic Review of the Evolution of Intelligent Building Representations in the AEC-FM Industry.” </w:t>
      </w:r>
      <w:r>
        <w:rPr>
          <w:i/>
          <w:iCs/>
        </w:rPr>
        <w:t>Journal of Information Technology in Construction (ITcon)</w:t>
      </w:r>
      <w:r>
        <w:rPr/>
        <w:t xml:space="preserve"> 26: 58–83. </w:t>
      </w:r>
      <w:hyperlink r:id="rId24">
        <w:r>
          <w:rPr>
            <w:rStyle w:val="Hyperlink"/>
          </w:rPr>
          <w:t>https://doi.org/10.36680/j.itcon.2021.005</w:t>
        </w:r>
      </w:hyperlink>
      <w:r>
        <w:rPr/>
        <w:t>.</w:t>
      </w:r>
      <w:bookmarkEnd w:id="41"/>
    </w:p>
    <w:p>
      <w:pPr>
        <w:pStyle w:val="Bibliography"/>
        <w:rPr/>
      </w:pPr>
      <w:bookmarkStart w:id="42" w:name="ref-donthu_bibliometria_2021"/>
      <w:r>
        <w:rPr/>
        <w:t xml:space="preserve">Donthu, Naveen, Satish Kumar, Debmalya Mukherjee, Nitesh Pandey, and Weng Marc Lim. 2021. “How to Conduct a Bibliometric Analysis: An Overview and Guidelines.” </w:t>
      </w:r>
      <w:r>
        <w:rPr>
          <w:i/>
          <w:iCs/>
        </w:rPr>
        <w:t>Journal of Business Research</w:t>
      </w:r>
      <w:r>
        <w:rPr/>
        <w:t xml:space="preserve"> 133: 285–96. </w:t>
      </w:r>
      <w:hyperlink r:id="rId25">
        <w:r>
          <w:rPr>
            <w:rStyle w:val="Hyperlink"/>
          </w:rPr>
          <w:t>https://doi.org/10.1016/j.jbusres.2021.04.070</w:t>
        </w:r>
      </w:hyperlink>
      <w:r>
        <w:rPr/>
        <w:t>.</w:t>
      </w:r>
      <w:bookmarkEnd w:id="42"/>
    </w:p>
    <w:p>
      <w:pPr>
        <w:pStyle w:val="Bibliography"/>
        <w:rPr/>
      </w:pPr>
      <w:bookmarkStart w:id="43" w:name="ref-gispert_ontologiaativos_2025"/>
      <w:r>
        <w:rPr/>
        <w:t xml:space="preserve">Espinosa Gispert, Diego, Ibrahim Yitmen, Habib Sadri, and Afshin Taheri. 2025. “Development of an Ontology-Based Asset Information Model for Predictive Maintenance in Building Facilities.” </w:t>
      </w:r>
      <w:r>
        <w:rPr>
          <w:i/>
          <w:iCs/>
        </w:rPr>
        <w:t>Smart and Sustainable Built Environment</w:t>
      </w:r>
      <w:r>
        <w:rPr/>
        <w:t xml:space="preserve"> 14 (3): 740–57. </w:t>
      </w:r>
      <w:hyperlink r:id="rId26">
        <w:r>
          <w:rPr>
            <w:rStyle w:val="Hyperlink"/>
          </w:rPr>
          <w:t>https://doi.org/10.1108/SASBE-07-2023-0170</w:t>
        </w:r>
      </w:hyperlink>
      <w:r>
        <w:rPr/>
        <w:t>.</w:t>
      </w:r>
      <w:bookmarkEnd w:id="43"/>
    </w:p>
    <w:p>
      <w:pPr>
        <w:pStyle w:val="Bibliography"/>
        <w:rPr/>
      </w:pPr>
      <w:bookmarkStart w:id="44" w:name="ref-ferreira_manutencaoceramica_2020"/>
      <w:r>
        <w:rPr/>
        <w:t xml:space="preserve">Ferreira, Cláudia, Luís Canhoto Neves, Ana Silva, and Jorge de Brito. 2020. “Stochastic Maintenance Models for Ceramic Claddings.” </w:t>
      </w:r>
      <w:r>
        <w:rPr>
          <w:i/>
          <w:iCs/>
        </w:rPr>
        <w:t>Structure and Infrastructure Engineering</w:t>
      </w:r>
      <w:r>
        <w:rPr/>
        <w:t xml:space="preserve"> 16 (2): 247–65. </w:t>
      </w:r>
      <w:hyperlink r:id="rId27">
        <w:r>
          <w:rPr>
            <w:rStyle w:val="Hyperlink"/>
          </w:rPr>
          <w:t>https://doi.org/10.1080/15732479.2019.1652657</w:t>
        </w:r>
      </w:hyperlink>
      <w:r>
        <w:rPr/>
        <w:t>.</w:t>
      </w:r>
      <w:bookmarkEnd w:id="44"/>
    </w:p>
    <w:p>
      <w:pPr>
        <w:pStyle w:val="Bibliography"/>
        <w:rPr/>
      </w:pPr>
      <w:bookmarkStart w:id="45" w:name="ref-goretti_bimoem_2023"/>
      <w:r>
        <w:rPr/>
        <w:t xml:space="preserve">Goretti, Hannah A., and Peter Kaming. 2023. “A Review and Bibliometric Analysis of Utilizing Building Information Modeling (BIM) on Effective Operation and Maintenance (o&amp;m).” </w:t>
      </w:r>
      <w:r>
        <w:rPr>
          <w:i/>
          <w:iCs/>
        </w:rPr>
        <w:t>E3S Web of Conferences</w:t>
      </w:r>
      <w:r>
        <w:rPr/>
        <w:t xml:space="preserve"> 429: 01002. </w:t>
      </w:r>
      <w:hyperlink r:id="rId28">
        <w:r>
          <w:rPr>
            <w:rStyle w:val="Hyperlink"/>
          </w:rPr>
          <w:t>https://doi.org/10.1051/e3sconf/202342901002</w:t>
        </w:r>
      </w:hyperlink>
      <w:r>
        <w:rPr/>
        <w:t>.</w:t>
      </w:r>
      <w:bookmarkEnd w:id="45"/>
    </w:p>
    <w:p>
      <w:pPr>
        <w:pStyle w:val="Bibliography"/>
        <w:rPr/>
      </w:pPr>
      <w:bookmarkStart w:id="46" w:name="ref-hu_revisao_sintese_2026"/>
      <w:r>
        <w:rPr/>
        <w:t xml:space="preserve">Hu, Meilan, Paye Shin Koh, Xun Ci Soh, Andree Hartanto, and Nadyanna M. Majeed. 2026. “From Review to Synthesis: A Step-by-Step Methodological Guide to Systematic Reviews and Multilevel Meta-Analyses.” </w:t>
      </w:r>
      <w:r>
        <w:rPr>
          <w:i/>
          <w:iCs/>
        </w:rPr>
        <w:t>Behavior Research Methods</w:t>
      </w:r>
      <w:r>
        <w:rPr/>
        <w:t xml:space="preserve"> 58 (7): 197. </w:t>
      </w:r>
      <w:hyperlink r:id="rId29">
        <w:r>
          <w:rPr>
            <w:rStyle w:val="Hyperlink"/>
          </w:rPr>
          <w:t>https://doi.org/10.3758/s13428-026-02961-x</w:t>
        </w:r>
      </w:hyperlink>
      <w:r>
        <w:rPr/>
        <w:t>.</w:t>
      </w:r>
      <w:bookmarkEnd w:id="46"/>
    </w:p>
    <w:p>
      <w:pPr>
        <w:pStyle w:val="Bibliography"/>
        <w:rPr/>
      </w:pPr>
      <w:bookmarkStart w:id="47" w:name="ref-jiang_deduplicacao_regras_2014"/>
      <w:r>
        <w:rPr/>
        <w:t xml:space="preserve">Jiang, Yu, Can Lin, Weiyi Meng, Clement Yu, Aaron M. Cohen, and Neil R. Smalheiser. 2014. “Rule-Based Deduplication of Article Records from Bibliographic Databases.” </w:t>
      </w:r>
      <w:r>
        <w:rPr>
          <w:i/>
          <w:iCs/>
        </w:rPr>
        <w:t>Database</w:t>
      </w:r>
      <w:r>
        <w:rPr/>
        <w:t xml:space="preserve"> 2014: bat086. </w:t>
      </w:r>
      <w:hyperlink r:id="rId30">
        <w:r>
          <w:rPr>
            <w:rStyle w:val="Hyperlink"/>
          </w:rPr>
          <w:t>https://doi.org/10.1093/database/bat086</w:t>
        </w:r>
      </w:hyperlink>
      <w:r>
        <w:rPr/>
        <w:t>.</w:t>
      </w:r>
      <w:bookmarkEnd w:id="47"/>
    </w:p>
    <w:p>
      <w:pPr>
        <w:pStyle w:val="Bibliography"/>
        <w:rPr/>
      </w:pPr>
      <w:bookmarkStart w:id="48" w:name="ref-kim_estimativacustoseducacional_2018"/>
      <w:r>
        <w:rPr/>
        <w:t xml:space="preserve">Kim, Ji-Myong, Taehui Kim, Yeong-Jin Yu, and Kiyoung Son. 2018. “Development of a Maintenance and Repair Cost Estimation Model for Educational Buildings Using Regression Analysis.” </w:t>
      </w:r>
      <w:r>
        <w:rPr>
          <w:i/>
          <w:iCs/>
        </w:rPr>
        <w:t>Journal of Asian Architecture and Building Engineering</w:t>
      </w:r>
      <w:r>
        <w:rPr/>
        <w:t xml:space="preserve"> 17 (2): 307–12. </w:t>
      </w:r>
      <w:hyperlink r:id="rId31">
        <w:r>
          <w:rPr>
            <w:rStyle w:val="Hyperlink"/>
          </w:rPr>
          <w:t>https://doi.org/10.3130/jaabe.17.307</w:t>
        </w:r>
      </w:hyperlink>
      <w:r>
        <w:rPr/>
        <w:t>.</w:t>
      </w:r>
      <w:bookmarkEnd w:id="48"/>
    </w:p>
    <w:p>
      <w:pPr>
        <w:pStyle w:val="Bibliography"/>
        <w:rPr/>
      </w:pPr>
      <w:bookmarkStart w:id="49" w:name="ref-lateef_manutencaouniversidade_2010"/>
      <w:r>
        <w:rPr/>
        <w:t xml:space="preserve">Lateef, Olanrewaju Abdul, Mohd Faris Khamidi, and Arazi Idrus. 2010. “Building Maintenance Management in a Malaysian University Campuses: A Case Study.” </w:t>
      </w:r>
      <w:r>
        <w:rPr>
          <w:i/>
          <w:iCs/>
        </w:rPr>
        <w:t>Australasian Journal of Construction Economics and Building</w:t>
      </w:r>
      <w:r>
        <w:rPr/>
        <w:t xml:space="preserve"> 10 (1/2): 76–89.</w:t>
      </w:r>
      <w:bookmarkEnd w:id="49"/>
    </w:p>
    <w:p>
      <w:pPr>
        <w:pStyle w:val="Bibliography"/>
        <w:rPr/>
      </w:pPr>
      <w:bookmarkStart w:id="50" w:name="ref-maia_gestaoinformacaomanutencao_2016"/>
      <w:r>
        <w:rPr/>
        <w:t xml:space="preserve">Maia, Barbara Lepca, Sérgio Scheer, and Maria do Carmo Duarte Freitas. 2016. “Manutenção Predial: A Prospecta de Decisões a Partir Da Gestão Da Informação.” </w:t>
      </w:r>
      <w:r>
        <w:rPr>
          <w:i/>
          <w:iCs/>
        </w:rPr>
        <w:t>Revista de Engenharia e Tecnologia</w:t>
      </w:r>
      <w:r>
        <w:rPr/>
        <w:t xml:space="preserve"> 8 (3): 37–55.</w:t>
      </w:r>
      <w:bookmarkEnd w:id="50"/>
    </w:p>
    <w:p>
      <w:pPr>
        <w:pStyle w:val="Bibliography"/>
        <w:rPr/>
      </w:pPr>
      <w:bookmarkStart w:id="51" w:name="ref-martins_custosmanutencaoses_2024"/>
      <w:r>
        <w:rPr/>
        <w:t xml:space="preserve">Martins, Rafael Fernando Batista, and Márcia Maria dos Santos Bortolocci Espejo. 2024. “Análise de Custos de Manutenção Predial Em Uma Universidade Federal Brasileira Com Uso Do Modelo de Suavização Exponencial Simples.” </w:t>
      </w:r>
      <w:r>
        <w:rPr>
          <w:i/>
          <w:iCs/>
        </w:rPr>
        <w:t>ABCustos</w:t>
      </w:r>
      <w:r>
        <w:rPr/>
        <w:t xml:space="preserve"> 19 (1): 79–98. </w:t>
      </w:r>
      <w:hyperlink r:id="rId32">
        <w:r>
          <w:rPr>
            <w:rStyle w:val="Hyperlink"/>
          </w:rPr>
          <w:t>https://doi.org/10.47179/abcustos.v19i1.719</w:t>
        </w:r>
      </w:hyperlink>
      <w:r>
        <w:rPr/>
        <w:t>.</w:t>
      </w:r>
      <w:bookmarkEnd w:id="51"/>
    </w:p>
    <w:p>
      <w:pPr>
        <w:pStyle w:val="Bibliography"/>
        <w:rPr/>
      </w:pPr>
      <w:bookmarkStart w:id="52" w:name="ref-masmoudi_ahptopsis_2026"/>
      <w:r>
        <w:rPr/>
        <w:t xml:space="preserve">Masmoudi, Malek, Mohamed Alshamsi, Sujan Piya, and Srikant Gupta. 2026. “Contractors Allocation for Public Building Maintenance: A Sustainable Approach Aligned with SDGs Using AHP-TOPSIS and Bi-Objective Optimization.” </w:t>
      </w:r>
      <w:r>
        <w:rPr>
          <w:i/>
          <w:iCs/>
        </w:rPr>
        <w:t>International Transactions in Operational Research</w:t>
      </w:r>
      <w:r>
        <w:rPr/>
        <w:t xml:space="preserve"> 33 (4): 2535–76. </w:t>
      </w:r>
      <w:hyperlink r:id="rId33">
        <w:r>
          <w:rPr>
            <w:rStyle w:val="Hyperlink"/>
          </w:rPr>
          <w:t>https://doi.org/10.1111/itor.70022</w:t>
        </w:r>
      </w:hyperlink>
      <w:r>
        <w:rPr/>
        <w:t>.</w:t>
      </w:r>
      <w:bookmarkEnd w:id="52"/>
    </w:p>
    <w:p>
      <w:pPr>
        <w:pStyle w:val="Bibliography"/>
        <w:rPr/>
      </w:pPr>
      <w:bookmarkStart w:id="53" w:name="ref-morais_eficienciamanutencao_2023"/>
      <w:r>
        <w:rPr/>
        <w:t xml:space="preserve">Morais, Lucas Salomão Rael de, Heber Martins de Paula, and Ricardo Prado Abreu Reis. 2023. “Promoção Da Eficiência Da Manutenção Predial Em Edificações Públicas: Abordagem Baseada Em Registros de Ordens de Serviço.” </w:t>
      </w:r>
      <w:r>
        <w:rPr>
          <w:i/>
          <w:iCs/>
        </w:rPr>
        <w:t>Paranoá</w:t>
      </w:r>
      <w:r>
        <w:rPr/>
        <w:t xml:space="preserve"> 16 (34): 1–27. </w:t>
      </w:r>
      <w:hyperlink r:id="rId34">
        <w:r>
          <w:rPr>
            <w:rStyle w:val="Hyperlink"/>
          </w:rPr>
          <w:t>https://doi.org/10.18830/issn.1679-0944.n34.2023.08</w:t>
        </w:r>
      </w:hyperlink>
      <w:r>
        <w:rPr/>
        <w:t>.</w:t>
      </w:r>
      <w:bookmarkEnd w:id="53"/>
    </w:p>
    <w:p>
      <w:pPr>
        <w:pStyle w:val="Bibliography"/>
        <w:rPr/>
      </w:pPr>
      <w:bookmarkStart w:id="54" w:name="ref-motuziene_ventilacaoia_2025"/>
      <w:r>
        <w:rPr/>
        <w:t xml:space="preserve">Motuzienė, Violeta, Jonas Bielskus, Rasa Džiugaitė-Tumėnienė, and Vidas Raudonis. 2025. “Occupancy-Based Predictive AI-Driven Ventilation Control for Energy Savings in Office Buildings.” </w:t>
      </w:r>
      <w:r>
        <w:rPr>
          <w:i/>
          <w:iCs/>
        </w:rPr>
        <w:t>Sustainability</w:t>
      </w:r>
      <w:r>
        <w:rPr/>
        <w:t xml:space="preserve"> 17 (9): 4140. </w:t>
      </w:r>
      <w:hyperlink r:id="rId35">
        <w:r>
          <w:rPr>
            <w:rStyle w:val="Hyperlink"/>
          </w:rPr>
          <w:t>https://doi.org/10.3390/su17094140</w:t>
        </w:r>
      </w:hyperlink>
      <w:r>
        <w:rPr/>
        <w:t>.</w:t>
      </w:r>
      <w:bookmarkEnd w:id="54"/>
    </w:p>
    <w:p>
      <w:pPr>
        <w:pStyle w:val="Bibliography"/>
        <w:rPr/>
      </w:pPr>
      <w:bookmarkStart w:id="55" w:name="ref-nageli_ciclovida_2019"/>
      <w:r>
        <w:rPr/>
        <w:t xml:space="preserve">Nägeli, Claudio, Abolfazl Farahani, Magnus Österbring, Jan-Olof Dalenbäck, and Holger Wallbaum. 2019. “A Service-Life Cycle Approach to Maintenance and Energy Retrofit Planning for Building Portfolios.” </w:t>
      </w:r>
      <w:r>
        <w:rPr>
          <w:i/>
          <w:iCs/>
        </w:rPr>
        <w:t>Building and Environment</w:t>
      </w:r>
      <w:r>
        <w:rPr/>
        <w:t xml:space="preserve"> 160: 106212. </w:t>
      </w:r>
      <w:hyperlink r:id="rId36">
        <w:r>
          <w:rPr>
            <w:rStyle w:val="Hyperlink"/>
          </w:rPr>
          <w:t>https://doi.org/10.1016/j.buildenv.2019.106212</w:t>
        </w:r>
      </w:hyperlink>
      <w:r>
        <w:rPr/>
        <w:t>.</w:t>
      </w:r>
      <w:bookmarkEnd w:id="55"/>
    </w:p>
    <w:p>
      <w:pPr>
        <w:pStyle w:val="Bibliography"/>
        <w:rPr/>
      </w:pPr>
      <w:bookmarkStart w:id="56" w:name="ref-naji_campusdelphi_2023"/>
      <w:r>
        <w:rPr/>
        <w:t xml:space="preserve">Naji, Khalid K., Murat Gunduz, and Omar Maki. 2023. “Development of a Campus Facility Management Operational Framework Using a Modified Delphi Method.” </w:t>
      </w:r>
      <w:r>
        <w:rPr>
          <w:i/>
          <w:iCs/>
        </w:rPr>
        <w:t>Journal of Construction Engineering and Management</w:t>
      </w:r>
      <w:r>
        <w:rPr/>
        <w:t xml:space="preserve"> 149 (7): 04023052. </w:t>
      </w:r>
      <w:hyperlink r:id="rId37">
        <w:r>
          <w:rPr>
            <w:rStyle w:val="Hyperlink"/>
          </w:rPr>
          <w:t>https://doi.org/10.1061/JCEMD4.COENG-13154</w:t>
        </w:r>
      </w:hyperlink>
      <w:r>
        <w:rPr/>
        <w:t>.</w:t>
      </w:r>
      <w:bookmarkEnd w:id="56"/>
    </w:p>
    <w:p>
      <w:pPr>
        <w:pStyle w:val="Bibliography"/>
        <w:rPr/>
      </w:pPr>
      <w:bookmarkStart w:id="57" w:name="X29a0b815a0fa8c82998c6fb0764f2ef94fd929e"/>
      <w:r>
        <w:rPr/>
        <w:t xml:space="preserve">Ndukuba, Samuel Nnadoziem. 2025. “Building Institutional Resilience Through Sustainable Facility Management in South African Vocational Education.” </w:t>
      </w:r>
      <w:r>
        <w:rPr>
          <w:i/>
          <w:iCs/>
        </w:rPr>
        <w:t>Construction Entrepreneurship and Real Property</w:t>
      </w:r>
      <w:r>
        <w:rPr/>
        <w:t xml:space="preserve"> 2 (2): 110–23. </w:t>
      </w:r>
      <w:hyperlink r:id="rId38">
        <w:r>
          <w:rPr>
            <w:rStyle w:val="Hyperlink"/>
          </w:rPr>
          <w:t>https://doi.org/10.56065/pdpyke84</w:t>
        </w:r>
      </w:hyperlink>
      <w:r>
        <w:rPr/>
        <w:t>.</w:t>
      </w:r>
      <w:bookmarkEnd w:id="57"/>
    </w:p>
    <w:p>
      <w:pPr>
        <w:pStyle w:val="Bibliography"/>
        <w:rPr/>
      </w:pPr>
      <w:bookmarkStart w:id="58" w:name="ref-nielsen_sustentabilidadefm_2016"/>
      <w:r>
        <w:rPr/>
        <w:t xml:space="preserve">Nielsen, Susanne Balslev, Anna-Liisa Sarasoja, and Kirsten Ramskov Galamba. 2016. “Sustainability in Facilities Management: An Overview of Current Research.” </w:t>
      </w:r>
      <w:r>
        <w:rPr>
          <w:i/>
          <w:iCs/>
        </w:rPr>
        <w:t>Facilities</w:t>
      </w:r>
      <w:r>
        <w:rPr/>
        <w:t xml:space="preserve"> 34 (9-10): 535–63. </w:t>
      </w:r>
      <w:hyperlink r:id="rId39">
        <w:r>
          <w:rPr>
            <w:rStyle w:val="Hyperlink"/>
          </w:rPr>
          <w:t>https://doi.org/10.1108/F-07-2014-0060</w:t>
        </w:r>
      </w:hyperlink>
      <w:r>
        <w:rPr/>
        <w:t>.</w:t>
      </w:r>
      <w:bookmarkEnd w:id="58"/>
    </w:p>
    <w:p>
      <w:pPr>
        <w:pStyle w:val="Bibliography"/>
        <w:rPr/>
      </w:pPr>
      <w:bookmarkStart w:id="59" w:name="ref-okoro_sustainablefm_2023"/>
      <w:r>
        <w:rPr/>
        <w:t xml:space="preserve">Okoro, Chioma Sylvia. 2023. “Sustainable Facilities Management in the Built Environment: A Mixed-Method Review.” </w:t>
      </w:r>
      <w:r>
        <w:rPr>
          <w:i/>
          <w:iCs/>
        </w:rPr>
        <w:t>Sustainability</w:t>
      </w:r>
      <w:r>
        <w:rPr/>
        <w:t xml:space="preserve"> 15 (4): 3174. </w:t>
      </w:r>
      <w:hyperlink r:id="rId40">
        <w:r>
          <w:rPr>
            <w:rStyle w:val="Hyperlink"/>
          </w:rPr>
          <w:t>https://doi.org/10.3390/su15043174</w:t>
        </w:r>
      </w:hyperlink>
      <w:r>
        <w:rPr/>
        <w:t>.</w:t>
      </w:r>
      <w:bookmarkEnd w:id="59"/>
    </w:p>
    <w:p>
      <w:pPr>
        <w:pStyle w:val="Bibliography"/>
        <w:rPr/>
      </w:pPr>
      <w:bookmarkStart w:id="60" w:name="ref-opoku_futurofm_2022"/>
      <w:r>
        <w:rPr/>
        <w:t xml:space="preserve">Opoku, Alex, and Jeoung Yul Lee. 2022. “The Future of Facilities Management: Managing Facilities for Sustainable Development.” </w:t>
      </w:r>
      <w:r>
        <w:rPr>
          <w:i/>
          <w:iCs/>
        </w:rPr>
        <w:t>Sustainability</w:t>
      </w:r>
      <w:r>
        <w:rPr/>
        <w:t xml:space="preserve"> 14 (3): 1705. </w:t>
      </w:r>
      <w:hyperlink r:id="rId41">
        <w:r>
          <w:rPr>
            <w:rStyle w:val="Hyperlink"/>
          </w:rPr>
          <w:t>https://doi.org/10.3390/su14031705</w:t>
        </w:r>
      </w:hyperlink>
      <w:r>
        <w:rPr/>
        <w:t>.</w:t>
      </w:r>
      <w:bookmarkEnd w:id="60"/>
    </w:p>
    <w:p>
      <w:pPr>
        <w:pStyle w:val="Bibliography"/>
        <w:rPr/>
      </w:pPr>
      <w:bookmarkStart w:id="61" w:name="ref-othman_manutenibilidadeesi_2023"/>
      <w:r>
        <w:rPr/>
        <w:t xml:space="preserve">Othman, Ayman Ahmed Ezzat, and Ahmed Kamal. 2023. “Enhancing Building Maintainability Through Early Supplier Involvement in the Design Process.” </w:t>
      </w:r>
      <w:r>
        <w:rPr>
          <w:i/>
          <w:iCs/>
        </w:rPr>
        <w:t>Organization, Technology and Management in Construction</w:t>
      </w:r>
      <w:r>
        <w:rPr/>
        <w:t xml:space="preserve"> 15: 34–49. </w:t>
      </w:r>
      <w:hyperlink r:id="rId42">
        <w:r>
          <w:rPr>
            <w:rStyle w:val="Hyperlink"/>
          </w:rPr>
          <w:t>https://doi.org/10.2478/otmcj-2023-0005</w:t>
        </w:r>
      </w:hyperlink>
      <w:r>
        <w:rPr/>
        <w:t>.</w:t>
      </w:r>
      <w:bookmarkEnd w:id="61"/>
    </w:p>
    <w:p>
      <w:pPr>
        <w:pStyle w:val="Bibliography"/>
        <w:rPr/>
      </w:pPr>
      <w:bookmarkStart w:id="62" w:name="ref-park_cbrfuzzyahp_2019"/>
      <w:r>
        <w:rPr/>
        <w:t xml:space="preserve">Park, Sojin, Nahyun Kwon, and Yonghan Ahn. 2019. “Forecasting Repair Schedule for Building Components Based on Case-Based Reasoning and Fuzzy-AHP.” </w:t>
      </w:r>
      <w:r>
        <w:rPr>
          <w:i/>
          <w:iCs/>
        </w:rPr>
        <w:t>Sustainability</w:t>
      </w:r>
      <w:r>
        <w:rPr/>
        <w:t xml:space="preserve"> 11 (24): 7181. </w:t>
      </w:r>
      <w:hyperlink r:id="rId43">
        <w:r>
          <w:rPr>
            <w:rStyle w:val="Hyperlink"/>
          </w:rPr>
          <w:t>https://doi.org/10.3390/su11247181</w:t>
        </w:r>
      </w:hyperlink>
      <w:r>
        <w:rPr/>
        <w:t>.</w:t>
      </w:r>
      <w:bookmarkEnd w:id="62"/>
    </w:p>
    <w:p>
      <w:pPr>
        <w:pStyle w:val="Bibliography"/>
        <w:rPr/>
      </w:pPr>
      <w:bookmarkStart w:id="63" w:name="ref-ramantswana_esgfm_2026"/>
      <w:r>
        <w:rPr/>
        <w:t xml:space="preserve">Ramantswana, Thabelo, Bankole Awuzie, Lerato Mompati, and Thabo Khafiso. 2026. “Embedding ESG in Facility Management Practices: A South African Corporate Real Estate Perspective.” </w:t>
      </w:r>
      <w:r>
        <w:rPr>
          <w:i/>
          <w:iCs/>
        </w:rPr>
        <w:t>International Journal of Building Pathology and Adaptation</w:t>
      </w:r>
      <w:r>
        <w:rPr/>
        <w:t xml:space="preserve"> 44 (5): 1246–66. </w:t>
      </w:r>
      <w:hyperlink r:id="rId44">
        <w:r>
          <w:rPr>
            <w:rStyle w:val="Hyperlink"/>
          </w:rPr>
          <w:t>https://doi.org/10.1108/IJBPA-07-2025-0169</w:t>
        </w:r>
      </w:hyperlink>
      <w:r>
        <w:rPr/>
        <w:t>.</w:t>
      </w:r>
      <w:bookmarkEnd w:id="63"/>
    </w:p>
    <w:p>
      <w:pPr>
        <w:pStyle w:val="Bibliography"/>
        <w:rPr/>
      </w:pPr>
      <w:bookmarkStart w:id="64" w:name="ref-rathbone_deduplicacao_2015"/>
      <w:r>
        <w:rPr/>
        <w:t xml:space="preserve">Rathbone, John, Matt Carter, Tammy Hoffmann, and Paul Glasziou. 2015. “Better Duplicate Detection for Systematic Reviewers: Evaluation of Systematic Review Assistant-Deduplication Module.” </w:t>
      </w:r>
      <w:r>
        <w:rPr>
          <w:i/>
          <w:iCs/>
        </w:rPr>
        <w:t>Systematic Reviews</w:t>
      </w:r>
      <w:r>
        <w:rPr/>
        <w:t xml:space="preserve"> 4: 6. </w:t>
      </w:r>
      <w:hyperlink r:id="rId45">
        <w:r>
          <w:rPr>
            <w:rStyle w:val="Hyperlink"/>
          </w:rPr>
          <w:t>https://doi.org/10.1186/2046-4053-4-6</w:t>
        </w:r>
      </w:hyperlink>
      <w:r>
        <w:rPr/>
        <w:t>.</w:t>
      </w:r>
      <w:bookmarkEnd w:id="64"/>
    </w:p>
    <w:p>
      <w:pPr>
        <w:pStyle w:val="Bibliography"/>
        <w:rPr/>
      </w:pPr>
      <w:bookmarkStart w:id="65" w:name="ref-snyder_revisaometodologia_2019"/>
      <w:r>
        <w:rPr/>
        <w:t xml:space="preserve">Snyder, Hannah. 2019. “Literature Review as a Research Methodology: An Overview and Guidelines.” </w:t>
      </w:r>
      <w:r>
        <w:rPr>
          <w:i/>
          <w:iCs/>
        </w:rPr>
        <w:t>Journal of Business Research</w:t>
      </w:r>
      <w:r>
        <w:rPr/>
        <w:t xml:space="preserve"> 104: 333–39. </w:t>
      </w:r>
      <w:hyperlink r:id="rId46">
        <w:r>
          <w:rPr>
            <w:rStyle w:val="Hyperlink"/>
          </w:rPr>
          <w:t>https://doi.org/10.1016/j.jbusres.2019.07.039</w:t>
        </w:r>
      </w:hyperlink>
      <w:r>
        <w:rPr/>
        <w:t>.</w:t>
      </w:r>
      <w:bookmarkEnd w:id="65"/>
    </w:p>
    <w:p>
      <w:pPr>
        <w:pStyle w:val="Bibliography"/>
        <w:rPr/>
      </w:pPr>
      <w:bookmarkStart w:id="66" w:name="ref-suh_demandaenergiaagua_2012"/>
      <w:r>
        <w:rPr/>
        <w:t xml:space="preserve">Suh, Dongjun, and Seongju Chang. 2012. “An Energy and Water Resource Demand Estimation Model for Multi-Family Housing Complexes in Korea.” </w:t>
      </w:r>
      <w:r>
        <w:rPr>
          <w:i/>
          <w:iCs/>
        </w:rPr>
        <w:t>Energies</w:t>
      </w:r>
      <w:r>
        <w:rPr/>
        <w:t xml:space="preserve"> 5 (11): 4497–4516. </w:t>
      </w:r>
      <w:hyperlink r:id="rId47">
        <w:r>
          <w:rPr>
            <w:rStyle w:val="Hyperlink"/>
          </w:rPr>
          <w:t>https://doi.org/10.3390/en5114497</w:t>
        </w:r>
      </w:hyperlink>
      <w:r>
        <w:rPr/>
        <w:t>.</w:t>
      </w:r>
      <w:bookmarkEnd w:id="66"/>
    </w:p>
    <w:p>
      <w:pPr>
        <w:pStyle w:val="Bibliography"/>
        <w:rPr/>
      </w:pPr>
      <w:bookmarkStart w:id="67" w:name="ref-talib_hospitalfm_2013"/>
      <w:r>
        <w:rPr/>
        <w:t xml:space="preserve">Talib, Yuhainis, Priyadarsini Rajagopalan, and Jay Yang. 2013. “Evaluation of Building Performance for Strategic Facilities Management in Healthcare: A Case Study of a Public Hospital in Australia.” </w:t>
      </w:r>
      <w:r>
        <w:rPr>
          <w:i/>
          <w:iCs/>
        </w:rPr>
        <w:t>Facilities</w:t>
      </w:r>
      <w:r>
        <w:rPr/>
        <w:t xml:space="preserve"> 31 (13/14): 681–701. </w:t>
      </w:r>
      <w:hyperlink r:id="rId48">
        <w:r>
          <w:rPr>
            <w:rStyle w:val="Hyperlink"/>
          </w:rPr>
          <w:t>https://doi.org/10.1108/F-06-2012-0042</w:t>
        </w:r>
      </w:hyperlink>
      <w:r>
        <w:rPr/>
        <w:t>.</w:t>
      </w:r>
      <w:bookmarkEnd w:id="67"/>
    </w:p>
    <w:p>
      <w:pPr>
        <w:pStyle w:val="Bibliography"/>
        <w:rPr/>
      </w:pPr>
      <w:bookmarkStart w:id="68" w:name="ref-tan_fluxoinformacao_2018"/>
      <w:r>
        <w:rPr/>
        <w:t xml:space="preserve">Tan, Adeline Zhu Teng, Atiq Uz Zaman, and Monty Sutrisna. 2018. “Enabling an Effective Knowledge and Information Flow Between the Phases of Building Construction and Facilities Management.” </w:t>
      </w:r>
      <w:r>
        <w:rPr>
          <w:i/>
          <w:iCs/>
        </w:rPr>
        <w:t>Facilities</w:t>
      </w:r>
      <w:r>
        <w:rPr/>
        <w:t xml:space="preserve"> 36 (3/4): 151–70. </w:t>
      </w:r>
      <w:hyperlink r:id="rId49">
        <w:r>
          <w:rPr>
            <w:rStyle w:val="Hyperlink"/>
          </w:rPr>
          <w:t>https://doi.org/10.1108/F-03-2016-0028</w:t>
        </w:r>
      </w:hyperlink>
      <w:r>
        <w:rPr/>
        <w:t>.</w:t>
      </w:r>
      <w:bookmarkEnd w:id="68"/>
    </w:p>
    <w:p>
      <w:pPr>
        <w:pStyle w:val="Bibliography"/>
        <w:rPr/>
      </w:pPr>
      <w:bookmarkStart w:id="69" w:name="ref-whittemore_revisaointegrativa_2005"/>
      <w:r>
        <w:rPr/>
        <w:t xml:space="preserve">Whittemore, Robin, and Kathleen Knafl. 2005. “The Integrative Review: Updated Methodology.” </w:t>
      </w:r>
      <w:r>
        <w:rPr>
          <w:i/>
          <w:iCs/>
        </w:rPr>
        <w:t>Journal of Advanced Nursing</w:t>
      </w:r>
      <w:r>
        <w:rPr/>
        <w:t xml:space="preserve"> 52 (5): 546–53. </w:t>
      </w:r>
      <w:hyperlink r:id="rId50">
        <w:r>
          <w:rPr>
            <w:rStyle w:val="Hyperlink"/>
          </w:rPr>
          <w:t>https://doi.org/10.1111/j.1365-2648.2005.03621.x</w:t>
        </w:r>
      </w:hyperlink>
      <w:r>
        <w:rPr/>
        <w:t>.</w:t>
      </w:r>
      <w:bookmarkEnd w:id="69"/>
    </w:p>
    <w:p>
      <w:pPr>
        <w:pStyle w:val="Bibliography"/>
        <w:rPr/>
      </w:pPr>
      <w:bookmarkStart w:id="70" w:name="ref-wu_gnnvidautil_2025"/>
      <w:r>
        <w:rPr/>
        <w:t xml:space="preserve">Wu, Pei-Yu, and S. Olof Mundt-Petersen. 2025. “Empirical Quantification and Prediction of Building Component Lifespans with Graph Neural Networks.” </w:t>
      </w:r>
      <w:r>
        <w:rPr>
          <w:i/>
          <w:iCs/>
        </w:rPr>
        <w:t>IOP Conference Series: Earth and Environmental Science</w:t>
      </w:r>
      <w:r>
        <w:rPr/>
        <w:t xml:space="preserve"> 1554: 012036. </w:t>
      </w:r>
      <w:hyperlink r:id="rId51">
        <w:r>
          <w:rPr>
            <w:rStyle w:val="Hyperlink"/>
          </w:rPr>
          <w:t>https://doi.org/10.1088/1755-1315/1554/1/012036</w:t>
        </w:r>
      </w:hyperlink>
      <w:r>
        <w:rPr/>
        <w:t>.</w:t>
      </w:r>
      <w:bookmarkEnd w:id="70"/>
    </w:p>
    <w:p>
      <w:pPr>
        <w:pStyle w:val="Bibliography"/>
        <w:spacing w:before="0" w:after="200"/>
        <w:rPr/>
      </w:pPr>
      <w:bookmarkStart w:id="71" w:name="ref-yoon_fuzzyfm_2018"/>
      <w:r>
        <w:rPr/>
        <w:t xml:space="preserve">Yoon, Jong Han, and Hee Sung Cha. 2018. “Optimal FM Strategy for Commercial Office Buildings Using Fuzzy Synthetic Evaluation.” </w:t>
      </w:r>
      <w:r>
        <w:rPr>
          <w:i/>
          <w:iCs/>
        </w:rPr>
        <w:t>Journal of Performance of Constructed Facilities</w:t>
      </w:r>
      <w:r>
        <w:rPr/>
        <w:t xml:space="preserve"> 32 (3): 04018025. </w:t>
      </w:r>
      <w:hyperlink r:id="rId52">
        <w:r>
          <w:rPr>
            <w:rStyle w:val="Hyperlink"/>
          </w:rPr>
          <w:t>https://doi.org/10.1061/(ASCE)CF.1943-5509.0001176</w:t>
        </w:r>
      </w:hyperlink>
      <w:r>
        <w:rPr/>
        <w:t>.</w:t>
      </w:r>
      <w:bookmarkEnd w:id="27"/>
      <w:bookmarkEnd w:id="28"/>
      <w:bookmarkEnd w:id="71"/>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start"/>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Times New Roman" w:hAnsi="Times New Roman" w:eastAsia="Times New Roman"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Times New Roman" w:hAnsi="Times New Roman" w:eastAsia="Times New Roman"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Times New Roman" w:hAnsi="Times New Roman" w:eastAsia="Times New Roman"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Times New Roman"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Times New Roman"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Times New Roman" w:hAnsi="Times New Roman" w:eastAsia="Times New Roman"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Times New Roman" w:hAnsi="Times New Roman" w:eastAsia="Times New Roman"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2026-08-28T01:14:37Z</dcterms:created>
  <dc:creator/>
  <dc:description/>
  <dc:language>en-US</dc:language>
  <cp:lastModifiedBy/>
  <dcterms:modified xsi:type="dcterms:W3CDTF">2026-08-28T01:14:37Z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date">
    <vt:lpwstr/>
  </property>
</Properties>
</file>