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7.png" ContentType="image/png"/>
  <Override PartName="/word/media/rId43.png" ContentType="image/png"/>
  <Override PartName="/word/media/rId52.png" ContentType="image/png"/>
  <Override PartName="/word/media/rId55.png" ContentType="image/png"/>
  <Override PartName="/word/media/rId35.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Cs/>
          <w:i/>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Cs/>
          <w:b/>
        </w:rPr>
        <w:t xml:space="preserve">Palavras-chave:</w:t>
      </w:r>
      <w:r>
        <w:t xml:space="preserve"> </w:t>
      </w:r>
      <w:r>
        <w:t xml:space="preserve">manutenção predial; sustentabilidade; métodos multicritério de decisão; gestão de edificações públicas; bibliometria.</w:t>
      </w:r>
    </w:p>
    <w:p>
      <w:pPr>
        <w:pStyle w:val="BodyText"/>
      </w:pPr>
      <w:r>
        <w:rPr>
          <w:bCs/>
          <w:b/>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Cs/>
          <w:b/>
        </w:rPr>
        <w:t xml:space="preserve">Keywords:</w:t>
      </w:r>
      <w:r>
        <w:t xml:space="preserve"> </w:t>
      </w:r>
      <w:r>
        <w:t xml:space="preserve">building maintenance; sustainability; multi-criteria decision-making; public building management; bibliometrics.</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w:t>
      </w:r>
      <w:hyperlink w:anchor="tab:correntesteoricas">
        <w:r>
          <w:rPr>
            <w:rStyle w:val="Hyperlink"/>
          </w:rPr>
          <w:t xml:space="preserve">[tab:correntesteoricas]</w:t>
        </w:r>
      </w:hyperlink>
      <w:r>
        <w:t xml:space="preserve"> </w:t>
      </w:r>
      <w:r>
        <w:t xml:space="preserve">apresenta o núcleo de cada corrente, sua contribuição ao protocolo e a principal lacuna de integração.</w:t>
      </w:r>
    </w:p>
    <w:p>
      <w:pPr>
        <w:pStyle w:val="BodyText"/>
      </w:pPr>
      <w:r>
        <w:t xml:space="preserve">&gt;p</w:t>
      </w:r>
      <w:r>
        <w:t xml:space="preserve">2.7cm</w:t>
      </w:r>
      <w:r>
        <w:t xml:space="preserve"> </w:t>
      </w:r>
      <w:r>
        <w:t xml:space="preserve">&gt;p</w:t>
      </w:r>
      <w:r>
        <w:t xml:space="preserve">3.3cm</w:t>
      </w:r>
      <w:r>
        <w:t xml:space="preserve"> </w:t>
      </w:r>
      <w:r>
        <w:t xml:space="preserve">&gt;p</w:t>
      </w:r>
      <w:r>
        <w:t xml:space="preserve">4.0cm</w:t>
      </w:r>
      <w:r>
        <w:t xml:space="preserve"> </w:t>
      </w:r>
      <w:r>
        <w:t xml:space="preserve">Y</w:t>
      </w:r>
      <w:r>
        <w:t xml:space="preserve"> </w:t>
      </w:r>
      <w:r>
        <w:t xml:space="preserve">Corrente &amp; Núcleo analítico &amp; Contribuição ao protocolo &amp; Lacuna de integração</w:t>
      </w:r>
      <w:r>
        <w:br/>
      </w:r>
      <w:r>
        <w:t xml:space="preserve">Técnica-operacional &amp; Condição, falha, desempenho, risco, manutenibilidade e continuidade. &amp; Indicadores de estado do ativo, recorrência de falhas e criticidade operacional. &amp; Predomínio de aplicações setoriais ou de componentes.</w:t>
      </w:r>
      <w:r>
        <w:br/>
      </w:r>
      <w:r>
        <w:t xml:space="preserve">Ambiental e ciclo de vida &amp; Energia, emissões, água, resíduos, renovação e custo ao longo da vida útil. &amp; Internalização de efeitos diferidos e prevenção de dupla contagem temporal. &amp; Integração desigual com rotinas reais de manutenção.</w:t>
      </w:r>
      <w:r>
        <w:br/>
      </w:r>
      <w:r>
        <w:t xml:space="preserve">Social e ocupacional &amp; Segurança, conforto, satisfação, acessibilidade e qualidade percebida. &amp; Critérios sobre usuários e continuidade das atividades acadêmicas. &amp; Menor frequência e operacionalização que os critérios técnicos.</w:t>
      </w:r>
      <w:r>
        <w:br/>
      </w:r>
      <w:r>
        <w:t xml:space="preserve">Informacional e digital &amp; BIM,</w:t>
      </w:r>
      <w:r>
        <w:t xml:space="preserve"> </w:t>
      </w:r>
      <w:r>
        <w:rPr>
          <w:iCs/>
          <w:i/>
        </w:rPr>
        <w:t xml:space="preserve">digital twin</w:t>
      </w:r>
      <w:r>
        <w:t xml:space="preserve">, sensores, ontologias e manutenção preditiva. &amp; Rastreabilidade, integração de dados e atualização progressiva dos indicadores. &amp; Maturidade digital e interoperabilidade ainda heterogêneas.</w:t>
      </w:r>
      <w:r>
        <w:br/>
      </w:r>
      <w:r>
        <w:t xml:space="preserve">Integração multicritério &amp; AHP, TOPSIS, ANP, Delphi, lógica fuzzy, otimização e pontuação. &amp; Estruturação, ponderação, comparação, sensibilidade e registro das escolhas. &amp; Poucas aplicações documentam a cadeia completa até a decisão institucional.</w:t>
      </w:r>
      <w:r>
        <w:br/>
      </w:r>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Cs/>
          <w:i/>
        </w:rPr>
        <w:t xml:space="preserve">campus</w:t>
      </w:r>
      <w:r>
        <w:t xml:space="preserve"> </w:t>
      </w:r>
      <w:r>
        <w:t xml:space="preserve">confirmam a utilidade dessas abordagens</w:t>
      </w:r>
      <w:r>
        <w:t xml:space="preserve"> </w:t>
      </w:r>
      <w:r>
        <w:t xml:space="preserve">(Alfalah et al. 2022; Naji, Gunduz, and Maki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21"/>
    <w:bookmarkStart w:id="25"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w:t>
      </w:r>
    </w:p>
    <w:p>
      <w:pPr>
        <w:pStyle w:val="BodyText"/>
      </w:pPr>
      <w:r>
        <w:t xml:space="preserve">A matriz de alinhamento da Tabela </w:t>
      </w:r>
      <w:hyperlink w:anchor="tab:alinhamentorq">
        <w:r>
          <w:rPr>
            <w:rStyle w:val="Hyperlink"/>
          </w:rPr>
          <w:t xml:space="preserve">[tab:alinhamentorq]</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BodyText"/>
      </w:pPr>
      <w:r>
        <w:t xml:space="preserve">&gt;p</w:t>
      </w:r>
      <w:r>
        <w:t xml:space="preserve">1.8cm</w:t>
      </w:r>
      <w:r>
        <w:t xml:space="preserve"> </w:t>
      </w:r>
      <w:r>
        <w:t xml:space="preserve">&gt;p</w:t>
      </w:r>
      <w:r>
        <w:t xml:space="preserve">2.7cm</w:t>
      </w:r>
      <w:r>
        <w:t xml:space="preserve"> </w:t>
      </w:r>
      <w:r>
        <w:t xml:space="preserve">&gt;p</w:t>
      </w:r>
      <w:r>
        <w:t xml:space="preserve">2.3cm</w:t>
      </w:r>
      <w:r>
        <w:t xml:space="preserve"> </w:t>
      </w:r>
      <w:r>
        <w:t xml:space="preserve">&gt;p</w:t>
      </w:r>
      <w:r>
        <w:t xml:space="preserve">4.1cm</w:t>
      </w:r>
      <w:r>
        <w:t xml:space="preserve"> </w:t>
      </w:r>
      <w:r>
        <w:t xml:space="preserve">Y</w:t>
      </w:r>
      <w:r>
        <w:t xml:space="preserve"> </w:t>
      </w:r>
      <w:r>
        <w:t xml:space="preserve">Elemento &amp; Formulação sintética &amp; Critério de seleção &amp; Campo de extração &amp; Resultado correspondente</w:t>
      </w:r>
      <w:r>
        <w:br/>
      </w:r>
      <w:r>
        <w:t xml:space="preserve">RQ0 &amp; Integração entre sustentabilidade, manutenção, gestão predial e apoio à decisão; elementos aplicáveis à priorização pública universitária. &amp; Objeto predial e sustentabilidade obrigatórios; decisão e contexto como caracterização. &amp;</w:t>
      </w:r>
      <w:r>
        <w:t xml:space="preserve"> </w:t>
      </w:r>
      <w:r>
        <w:rPr>
          <w:rStyle w:val="VerbatimChar"/>
        </w:rPr>
        <w:t xml:space="preserve">rq0_confirmada</w:t>
      </w:r>
      <w:r>
        <w:t xml:space="preserve">; contribuição; critérios; métodos; contexto; dimensões. &amp; Síntese integrada nas Seções </w:t>
      </w:r>
      <w:hyperlink w:anchor="sec:criterios">
        <w:r>
          <w:rPr>
            <w:rStyle w:val="Hyperlink"/>
          </w:rPr>
          <w:t xml:space="preserve">6</w:t>
        </w:r>
      </w:hyperlink>
      <w:r>
        <w:t xml:space="preserve"> </w:t>
      </w:r>
      <w:r>
        <w:t xml:space="preserve">a </w:t>
      </w:r>
      <w:hyperlink w:anchor="sec:matriz">
        <w:r>
          <w:rPr>
            <w:rStyle w:val="Hyperlink"/>
          </w:rPr>
          <w:t xml:space="preserve">9</w:t>
        </w:r>
      </w:hyperlink>
      <w:r>
        <w:t xml:space="preserve">.</w:t>
      </w:r>
      <w:r>
        <w:br/>
      </w:r>
      <w:r>
        <w:t xml:space="preserve">RQ1 &amp; Dimensões de sustentabilidade identificadas. &amp; Sustentabilidade obrigatória. &amp;</w:t>
      </w:r>
      <w:r>
        <w:t xml:space="preserve"> </w:t>
      </w:r>
      <w:r>
        <w:rPr>
          <w:rStyle w:val="VerbatimChar"/>
        </w:rPr>
        <w:t xml:space="preserve">dimensoes_sustentabilidade_identificadas_leitura</w:t>
      </w:r>
      <w:r>
        <w:t xml:space="preserve">. &amp; Seção </w:t>
      </w:r>
      <w:hyperlink w:anchor="sec:criterios">
        <w:r>
          <w:rPr>
            <w:rStyle w:val="Hyperlink"/>
          </w:rPr>
          <w:t xml:space="preserve">6</w:t>
        </w:r>
      </w:hyperlink>
      <w:r>
        <w:t xml:space="preserve"> </w:t>
      </w:r>
      <w:r>
        <w:t xml:space="preserve">e Gráfico </w:t>
      </w:r>
      <w:hyperlink w:anchor="fig:dimensoes">
        <w:r>
          <w:rPr>
            <w:rStyle w:val="Hyperlink"/>
          </w:rPr>
          <w:t xml:space="preserve">7</w:t>
        </w:r>
      </w:hyperlink>
      <w:r>
        <w:t xml:space="preserve">.</w:t>
      </w:r>
      <w:r>
        <w:br/>
      </w:r>
      <w:r>
        <w:t xml:space="preserve">RQ2 &amp; Critérios de priorização identificados. &amp; Decisão e priorização como caracterização. &amp;</w:t>
      </w:r>
      <w:r>
        <w:t xml:space="preserve"> </w:t>
      </w:r>
      <w:r>
        <w:rPr>
          <w:rStyle w:val="VerbatimChar"/>
        </w:rPr>
        <w:t xml:space="preserve">criterios_identificados_leitura</w:t>
      </w:r>
      <w:r>
        <w:t xml:space="preserve">. &amp; Seção </w:t>
      </w:r>
      <w:hyperlink w:anchor="sec:criterios">
        <w:r>
          <w:rPr>
            <w:rStyle w:val="Hyperlink"/>
          </w:rPr>
          <w:t xml:space="preserve">6</w:t>
        </w:r>
      </w:hyperlink>
      <w:r>
        <w:t xml:space="preserve"> </w:t>
      </w:r>
      <w:r>
        <w:t xml:space="preserve">e Tabela </w:t>
      </w:r>
      <w:hyperlink w:anchor="tab:criteriospriorizacao">
        <w:r>
          <w:rPr>
            <w:rStyle w:val="Hyperlink"/>
          </w:rPr>
          <w:t xml:space="preserve">[tab:criteriospriorizacao]</w:t>
        </w:r>
      </w:hyperlink>
      <w:r>
        <w:t xml:space="preserve">.</w:t>
      </w:r>
      <w:r>
        <w:br/>
      </w:r>
      <w:r>
        <w:t xml:space="preserve">RQ3 &amp; Métodos de apoio à decisão identificados. &amp; Método de decisão como caracterização. &amp;</w:t>
      </w:r>
      <w:r>
        <w:t xml:space="preserve"> </w:t>
      </w:r>
      <w:r>
        <w:rPr>
          <w:rStyle w:val="VerbatimChar"/>
        </w:rPr>
        <w:t xml:space="preserve">metodos_decisao_identificados_leitura</w:t>
      </w:r>
      <w:r>
        <w:t xml:space="preserve">. &amp; Seção </w:t>
      </w:r>
      <w:hyperlink w:anchor="sec:metodos">
        <w:r>
          <w:rPr>
            <w:rStyle w:val="Hyperlink"/>
          </w:rPr>
          <w:t xml:space="preserve">7</w:t>
        </w:r>
      </w:hyperlink>
      <w:r>
        <w:t xml:space="preserve"> </w:t>
      </w:r>
      <w:r>
        <w:t xml:space="preserve">e Gráfico </w:t>
      </w:r>
      <w:hyperlink w:anchor="fig:metodos">
        <w:r>
          <w:rPr>
            <w:rStyle w:val="Hyperlink"/>
          </w:rPr>
          <w:t xml:space="preserve">8</w:t>
        </w:r>
      </w:hyperlink>
      <w:r>
        <w:t xml:space="preserve">.</w:t>
      </w:r>
      <w:r>
        <w:br/>
      </w:r>
      <w:r>
        <w:t xml:space="preserve">RQ4 &amp; Contextos de edificação identificados. &amp; Contexto como caracterização, sem recorte isolado. &amp;</w:t>
      </w:r>
      <w:r>
        <w:t xml:space="preserve"> </w:t>
      </w:r>
      <w:r>
        <w:rPr>
          <w:rStyle w:val="VerbatimChar"/>
        </w:rPr>
        <w:t xml:space="preserve">contexto_edificacao_identificado_leitura</w:t>
      </w:r>
      <w:r>
        <w:t xml:space="preserve">. &amp; Seção </w:t>
      </w:r>
      <w:hyperlink w:anchor="sec:aplicabilidade">
        <w:r>
          <w:rPr>
            <w:rStyle w:val="Hyperlink"/>
          </w:rPr>
          <w:t xml:space="preserve">8</w:t>
        </w:r>
      </w:hyperlink>
      <w:r>
        <w:t xml:space="preserve"> </w:t>
      </w:r>
      <w:r>
        <w:t xml:space="preserve">e Tabela </w:t>
      </w:r>
      <w:hyperlink w:anchor="tab:contexto">
        <w:r>
          <w:rPr>
            <w:rStyle w:val="Hyperlink"/>
          </w:rPr>
          <w:t xml:space="preserve">[tab:contexto]</w:t>
        </w:r>
      </w:hyperlink>
      <w:r>
        <w:t xml:space="preserve">.</w:t>
      </w:r>
      <w:r>
        <w:br/>
      </w:r>
      <w:r>
        <w:t xml:space="preserve">RQ5 &amp; Lacunas registradas para instituições públicas de ensino superior. &amp; Contexto público/universitário como reforço não obrigatório. &amp;</w:t>
      </w:r>
      <w:r>
        <w:t xml:space="preserve"> </w:t>
      </w:r>
      <w:r>
        <w:rPr>
          <w:rStyle w:val="VerbatimChar"/>
        </w:rPr>
        <w:t xml:space="preserve">lacuna_ou_limite_identificado_leitura</w:t>
      </w:r>
      <w:r>
        <w:t xml:space="preserve">; contribuição do artigo. &amp; Seções </w:t>
      </w:r>
      <w:hyperlink w:anchor="sec:aplicabilidade">
        <w:r>
          <w:rPr>
            <w:rStyle w:val="Hyperlink"/>
          </w:rPr>
          <w:t xml:space="preserve">8</w:t>
        </w:r>
      </w:hyperlink>
      <w:r>
        <w:t xml:space="preserve">,</w:t>
      </w:r>
      <w:r>
        <w:t xml:space="preserve"> </w:t>
      </w:r>
      <w:hyperlink w:anchor="sec:limitacoes">
        <w:r>
          <w:rPr>
            <w:rStyle w:val="Hyperlink"/>
          </w:rPr>
          <w:t xml:space="preserve">11</w:t>
        </w:r>
      </w:hyperlink>
      <w:r>
        <w:t xml:space="preserve"> </w:t>
      </w:r>
      <w:r>
        <w:t xml:space="preserve">e</w:t>
      </w:r>
      <w:r>
        <w:t xml:space="preserve"> </w:t>
      </w:r>
      <w:hyperlink w:anchor="sec:consideracoes">
        <w:r>
          <w:rPr>
            <w:rStyle w:val="Hyperlink"/>
          </w:rPr>
          <w:t xml:space="preserve">12</w:t>
        </w:r>
      </w:hyperlink>
      <w:r>
        <w:t xml:space="preserve">.</w:t>
      </w:r>
      <w:r>
        <w:br/>
      </w:r>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w:t>
      </w:r>
      <w:hyperlink w:anchor="tab:estrategiabusca">
        <w:r>
          <w:rPr>
            <w:rStyle w:val="Hyperlink"/>
          </w:rPr>
          <w:t xml:space="preserve">[tab:estrategiabusca]</w:t>
        </w:r>
      </w:hyperlink>
      <w:r>
        <w:t xml:space="preserve"> </w:t>
      </w:r>
      <w:r>
        <w:t xml:space="preserve">consolida os parâmetros verificáveis.</w:t>
      </w:r>
    </w:p>
    <w:p>
      <w:pPr>
        <w:pStyle w:val="BodyText"/>
      </w:pPr>
      <w:r>
        <w:t xml:space="preserve">&gt;p</w:t>
      </w:r>
      <w:r>
        <w:t xml:space="preserve">2.3cm</w:t>
      </w:r>
      <w:r>
        <w:t xml:space="preserve"> </w:t>
      </w:r>
      <w:r>
        <w:t xml:space="preserve">&gt;p</w:t>
      </w:r>
      <w:r>
        <w:t xml:space="preserve">1.6cm</w:t>
      </w:r>
      <w:r>
        <w:t xml:space="preserve"> </w:t>
      </w:r>
      <w:r>
        <w:t xml:space="preserve">&gt;p</w:t>
      </w:r>
      <w:r>
        <w:t xml:space="preserve">1.8cm</w:t>
      </w:r>
      <w:r>
        <w:t xml:space="preserve"> </w:t>
      </w:r>
      <w:r>
        <w:t xml:space="preserve">&gt;p</w:t>
      </w:r>
      <w:r>
        <w:t xml:space="preserve">2.3cm</w:t>
      </w:r>
      <w:r>
        <w:t xml:space="preserve"> </w:t>
      </w:r>
      <w:r>
        <w:t xml:space="preserve">&gt;p</w:t>
      </w:r>
      <w:r>
        <w:t xml:space="preserve">1.2cm</w:t>
      </w:r>
      <w:r>
        <w:t xml:space="preserve"> </w:t>
      </w:r>
      <w:r>
        <w:t xml:space="preserve">Y</w:t>
      </w:r>
      <w:r>
        <w:t xml:space="preserve"> </w:t>
      </w:r>
      <w:r>
        <w:t xml:space="preserve">Base &amp; Data documentada &amp; Período &amp; Campo ou modelo &amp; Registros &amp; Limites e função</w:t>
      </w:r>
      <w:r>
        <w:br/>
      </w:r>
      <w:r>
        <w:t xml:space="preserve">Scopus &amp; 08/07/2026; enriquecimento em 09/07/2026 &amp; 2010–2026 &amp; 4 consultas em</w:t>
      </w:r>
      <w:r>
        <w:t xml:space="preserve"> </w:t>
      </w:r>
      <w:r>
        <w:rPr>
          <w:rStyle w:val="VerbatimChar"/>
        </w:rPr>
        <w:t xml:space="preserve">TITLE-ABS-KEY</w:t>
      </w:r>
      <w:r>
        <w:t xml:space="preserve"> </w:t>
      </w:r>
      <w:r>
        <w:t xml:space="preserve">&amp; 9.438 &amp; Base principal; 9.433 da API e cinco exclusivos do export manual.</w:t>
      </w:r>
      <w:r>
        <w:br/>
      </w:r>
      <w:r>
        <w:t xml:space="preserve">Web of Science &amp; 08/07/2026 &amp; 2010–2026 &amp; 4 buscas manuais em</w:t>
      </w:r>
      <w:r>
        <w:t xml:space="preserve"> </w:t>
      </w:r>
      <w:r>
        <w:rPr>
          <w:rStyle w:val="VerbatimChar"/>
        </w:rPr>
        <w:t xml:space="preserve">TS (Topic)</w:t>
      </w:r>
      <w:r>
        <w:t xml:space="preserve"> </w:t>
      </w:r>
      <w:r>
        <w:t xml:space="preserve">&amp; 1.680 &amp; Base independente; A4 recontado em 503; associação A1–A4 aos RIS informada de memória.</w:t>
      </w:r>
      <w:r>
        <w:br/>
      </w:r>
      <w:r>
        <w:t xml:space="preserve">Crossref &amp; 08/07/2026 &amp; 2010–2026 &amp; 5 consultas em</w:t>
      </w:r>
      <w:r>
        <w:t xml:space="preserve"> </w:t>
      </w:r>
      <w:r>
        <w:rPr>
          <w:rStyle w:val="VerbatimChar"/>
        </w:rPr>
        <w:t xml:space="preserve">query.bibliographic</w:t>
      </w:r>
      <w:r>
        <w:t xml:space="preserve"> </w:t>
      </w:r>
      <w:r>
        <w:t xml:space="preserve">&amp; 1.000 &amp; Fonte complementar; 200 resultados por consulta, ordenados por relevância.</w:t>
      </w:r>
      <w:r>
        <w:br/>
      </w:r>
      <w:r>
        <w:t xml:space="preserve">Total &amp; &amp; &amp; 13 consultas &amp; 12.118 &amp; Volume anterior à deduplicação.</w:t>
      </w:r>
      <w:r>
        <w:br/>
      </w:r>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[tab:criteriosincluexclu]</w:t>
        </w:r>
      </w:hyperlink>
      <w:r>
        <w:t xml:space="preserve"> </w:t>
      </w:r>
      <w:r>
        <w:t xml:space="preserve">sintetiza as regras aplicadas.</w:t>
      </w:r>
    </w:p>
    <w:p>
      <w:pPr>
        <w:pStyle w:val="BodyText"/>
      </w:pPr>
      <w:r>
        <w:t xml:space="preserve">&gt;p</w:t>
      </w:r>
      <w:r>
        <w:t xml:space="preserve">3.4cm</w:t>
      </w:r>
      <w:r>
        <w:t xml:space="preserve"> </w:t>
      </w:r>
      <w:r>
        <w:t xml:space="preserve">&gt;p</w:t>
      </w:r>
      <w:r>
        <w:t xml:space="preserve">2.7cm</w:t>
      </w:r>
      <w:r>
        <w:t xml:space="preserve"> </w:t>
      </w:r>
      <w:r>
        <w:t xml:space="preserve">Y</w:t>
      </w:r>
      <w:r>
        <w:t xml:space="preserve"> </w:t>
      </w:r>
      <w:r>
        <w:t xml:space="preserve">Critério &amp; Aplicação &amp; Descrição operacional</w:t>
      </w:r>
      <w:r>
        <w:br/>
      </w:r>
      <w:r>
        <w:t xml:space="preserve">Objeto predial &amp; Inclusão &amp; Manutenção predial, gestão de facilidades, gestão de ativos construídos ou operação de edifícios.</w:t>
      </w:r>
      <w:r>
        <w:br/>
      </w:r>
      <w:r>
        <w:t xml:space="preserve">Sustentabilidade &amp; Inclusão &amp; Desempenho ambiental, ciclo de vida, energia, critérios econômicos, sociais, técnicos ou institucionais.</w:t>
      </w:r>
      <w:r>
        <w:br/>
      </w:r>
      <w:r>
        <w:t xml:space="preserve">Período de publicação &amp; Inclusão &amp; Publicação entre 2010 e 2026.</w:t>
      </w:r>
      <w:r>
        <w:br/>
      </w:r>
      <w:r>
        <w:t xml:space="preserve">Decisão e priorização &amp; Caracterização &amp; Identificação de MCDM, MCDA, AHP, TOPSIS, ANP, otimização, pontuação e outros instrumentos de apoio à decisão.</w:t>
      </w:r>
      <w:r>
        <w:br/>
      </w:r>
      <w:r>
        <w:t xml:space="preserve">Contexto da edificação &amp; Caracterização &amp; Identificação de universidades,</w:t>
      </w:r>
      <w:r>
        <w:t xml:space="preserve"> </w:t>
      </w:r>
      <w:r>
        <w:rPr>
          <w:iCs/>
          <w:i/>
        </w:rPr>
        <w:t xml:space="preserve">campus</w:t>
      </w:r>
      <w:r>
        <w:t xml:space="preserve">, edifícios públicos, escolas, hospitais e outras tipologias.</w:t>
      </w:r>
      <w:r>
        <w:br/>
      </w:r>
      <w:r>
        <w:t xml:space="preserve">Escopo externo ao ambiente construído &amp; Exclusão &amp; Aplicações industriais, transporte, infraestrutura linear ou materiais sem relação com operação e manutenção de edificações.</w:t>
      </w:r>
      <w:r>
        <w:br/>
      </w:r>
      <w:r>
        <w:t xml:space="preserve">Duplicidade &amp; Consolidação &amp; Fusão por DOI normalizado ou título normalizado, com preservação das bases e consultas de origem.</w:t>
      </w:r>
      <w:r>
        <w:br/>
      </w:r>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[tab:deduplicacao]</w:t>
        </w:r>
      </w:hyperlink>
      <w:r>
        <w:t xml:space="preserve"> </w:t>
      </w:r>
      <w:r>
        <w:t xml:space="preserve">apresenta os resultados e os controles conservadores da deduplicação.</w:t>
      </w:r>
    </w:p>
    <w:p>
      <w:pPr>
        <w:pStyle w:val="BodyText"/>
      </w:pPr>
      <w:r>
        <w:t xml:space="preserve">Y &gt;p</w:t>
      </w:r>
      <w:r>
        <w:t xml:space="preserve">2.3cm</w:t>
      </w:r>
      <w:r>
        <w:t xml:space="preserve"> </w:t>
      </w:r>
      <w:r>
        <w:t xml:space="preserve">&gt;p</w:t>
      </w:r>
      <w:r>
        <w:t xml:space="preserve">5.7cm</w:t>
      </w:r>
      <w:r>
        <w:t xml:space="preserve"> </w:t>
      </w:r>
      <w:r>
        <w:t xml:space="preserve">Indicador &amp; Total &amp; Interpretação</w:t>
      </w:r>
      <w:r>
        <w:br/>
      </w:r>
      <w:r>
        <w:t xml:space="preserve">Registros brutos normalizados &amp; 12.118 &amp; Uma linha por ocorrência recuperada antes da deduplicação.</w:t>
      </w:r>
      <w:r>
        <w:br/>
      </w:r>
      <w:r>
        <w:t xml:space="preserve">Registros únicos &amp; 9.542 &amp; Uma linha por grupo consolidado.</w:t>
      </w:r>
      <w:r>
        <w:br/>
      </w:r>
      <w:r>
        <w:t xml:space="preserve">Ocorrências removidas &amp; 2.576 &amp; Diferença entre registros brutos e únicos.</w:t>
      </w:r>
      <w:r>
        <w:br/>
      </w:r>
      <w:r>
        <w:t xml:space="preserve">Grupos com duplicidade &amp; 1.808 &amp; 1.635 agrupados por DOI e 173 apenas por título normalizado.</w:t>
      </w:r>
      <w:r>
        <w:br/>
      </w:r>
      <w:r>
        <w:t xml:space="preserve">Registros únicos com DOI &amp; 8.264 &amp; DOI presente após consolidação.</w:t>
      </w:r>
      <w:r>
        <w:br/>
      </w:r>
      <w:r>
        <w:t xml:space="preserve">Registros únicos sem DOI &amp; 1.278 &amp; Dependem de título e identificadores para controle de duplicidade.</w:t>
      </w:r>
      <w:r>
        <w:br/>
      </w:r>
      <w:r>
        <w:t xml:space="preserve">Conflitos preservados &amp; 98 &amp; 51 por DOI divergente e 47 por identificador próprio divergente; não foram mesclados.</w:t>
      </w:r>
      <w:r>
        <w:br/>
      </w:r>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[tab:funilselecao]</w:t>
        </w:r>
      </w:hyperlink>
      <w:r>
        <w:t xml:space="preserve"> </w:t>
      </w:r>
      <w:r>
        <w:t xml:space="preserve">e a Figura </w:t>
      </w:r>
      <w:hyperlink w:anchor="fig:funil">
        <w:r>
          <w:rPr>
            <w:rStyle w:val="Hyperlink"/>
          </w:rPr>
          <w:t xml:space="preserve">1</w:t>
        </w:r>
      </w:hyperlink>
      <w:r>
        <w:t xml:space="preserve"> </w:t>
      </w:r>
      <w:r>
        <w:t xml:space="preserve">apresentam o fluxo.</w:t>
      </w:r>
    </w:p>
    <w:p>
      <w:pPr>
        <w:pStyle w:val="BodyText"/>
      </w:pPr>
      <w:r>
        <w:t xml:space="preserve">&gt;p</w:t>
      </w:r>
      <w:r>
        <w:t xml:space="preserve">1.7cm</w:t>
      </w:r>
      <w:r>
        <w:t xml:space="preserve"> </w:t>
      </w:r>
      <w:r>
        <w:t xml:space="preserve">&gt;p</w:t>
      </w:r>
      <w:r>
        <w:t xml:space="preserve">1.1cm</w:t>
      </w:r>
      <w:r>
        <w:t xml:space="preserve"> </w:t>
      </w:r>
      <w:r>
        <w:t xml:space="preserve">&gt;p</w:t>
      </w:r>
      <w:r>
        <w:t xml:space="preserve">2.5cm</w:t>
      </w:r>
      <w:r>
        <w:t xml:space="preserve"> </w:t>
      </w:r>
      <w:r>
        <w:t xml:space="preserve">&gt;p</w:t>
      </w:r>
      <w:r>
        <w:t xml:space="preserve">2.6cm</w:t>
      </w:r>
      <w:r>
        <w:t xml:space="preserve"> </w:t>
      </w:r>
      <w:r>
        <w:t xml:space="preserve">&gt;p</w:t>
      </w:r>
      <w:r>
        <w:t xml:space="preserve">2.0cm</w:t>
      </w:r>
      <w:r>
        <w:t xml:space="preserve"> </w:t>
      </w:r>
      <w:r>
        <w:t xml:space="preserve">&gt;p</w:t>
      </w:r>
      <w:r>
        <w:t xml:space="preserve">1.1cm</w:t>
      </w:r>
      <w:r>
        <w:t xml:space="preserve"> </w:t>
      </w:r>
      <w:r>
        <w:t xml:space="preserve">&gt;p</w:t>
      </w:r>
      <w:r>
        <w:t xml:space="preserve">1.2cm</w:t>
      </w:r>
      <w:r>
        <w:t xml:space="preserve"> </w:t>
      </w:r>
      <w:r>
        <w:t xml:space="preserve">Y</w:t>
      </w:r>
      <w:r>
        <w:t xml:space="preserve"> </w:t>
      </w:r>
      <w:r>
        <w:t xml:space="preserve">Etapa &amp; Entrada &amp; Procedimento &amp; Critério &amp; Responsável &amp; Incluídos &amp; Não retidos &amp; Motivos</w:t>
      </w:r>
      <w:r>
        <w:br/>
      </w:r>
      <w:r>
        <w:t xml:space="preserve">Coleta e deduplicação &amp; 12.118 &amp; Normalização e agrupamento por DOI ou título, com proveniência preservada. &amp; DOI normalizado; na ausência, título normalizado sem conflito de identificador. &amp; Script Python. &amp; 9.542 &amp; 2.576 &amp; Ocorrências duplicadas entre bases ou consultas.</w:t>
      </w:r>
      <w:r>
        <w:br/>
      </w:r>
      <w:r>
        <w:t xml:space="preserve">Pré-triagem e resolução &amp; 9.542 &amp; Regras em título e resumo; auditoria de 100; corte inicial de 3.786; decisão dos 4.276 casos de dúvida. &amp; Classe relevante ou decisão revisada</w:t>
      </w:r>
      <w:r>
        <w:t xml:space="preserve"> </w:t>
      </w:r>
      <w:r>
        <w:rPr>
          <w:rStyle w:val="VerbatimChar"/>
        </w:rPr>
        <w:t xml:space="preserve">RELEVANTE</w:t>
      </w:r>
      <w:r>
        <w:t xml:space="preserve">. &amp; Scripts Python/R; avaliador único na amostra; tabela de decisão. &amp; 3.678 &amp; 5.864 &amp; 4.070 dúvidas descartadas; 796 irrelevantes; 566 sem resumo; 432 complementares.</w:t>
      </w:r>
      <w:r>
        <w:br/>
      </w:r>
      <w:r>
        <w:t xml:space="preserve">Alinhamento às RQs &amp; 3.678 &amp; Pontuação determinística de aderência às RQs e força do resumo. &amp; Sinais de objeto, manutenção, sustentabilidade, decisão e contexto; sem exclusão forte. &amp; Scripts R; regras aprovadas pelo pesquisador. &amp; 137 &amp; 3.541 &amp; Uso secundário, descritivo, contextual ou exclusão da análise central.</w:t>
      </w:r>
      <w:r>
        <w:br/>
      </w:r>
      <w:r>
        <w:t xml:space="preserve">Auditoria qualitativa &amp; 137 &amp; Auditoria estruturada de título, resumo, palavras-chave e campos extraídos. &amp; Aderência ao núcleo principal e suficiência documental. &amp; Avaliador único, sem revisão independente. &amp; 104 &amp; 33 &amp; 21 secundários; 3 apenas mapeamento; 9 excluídos, incluindo 1 pendência de texto completo descartada.</w:t>
      </w:r>
      <w:r>
        <w:br/>
      </w:r>
    </w:p>
    <w:tbl>
      <w:tblPr>
        <w:tblStyle w:val="FigureTable"/>
        <w:tblW w:type="auto" w:w="0"/>
        <w:tblLook w:firstRow="0" w:lastRow="0" w:firstColumn="0" w:lastColumn="0"/>
        <w:jc w:val="center"/>
      </w:tblPr>
      <w:tblGrid/>
      <w:tr/>
    </w:tbl>
    <w:p>
      <w:pPr>
        <w:pStyle w:val="ImageCaption"/>
      </w:pPr>
      <w:r>
        <w:t xml:space="preserve">Fluxo de seleção do corpus</w:t>
      </w:r>
    </w:p>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24"/>
    <w:bookmarkEnd w:id="25"/>
    <w:bookmarkStart w:id="38"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7" name="Picture"/>
            <a:graphic>
              <a:graphicData uri="http://schemas.openxmlformats.org/drawingml/2006/picture">
                <pic:pic>
                  <pic:nvPicPr>
                    <pic:cNvPr descr="figuras/figura_fontes_relevantes_372.pdf" id="28" name="Picture"/>
                    <pic:cNvPicPr>
                      <a:picLocks noChangeArrowheads="1" noChangeAspect="1"/>
                    </pic:cNvPicPr>
                  </pic:nvPicPr>
                  <pic:blipFill>
                    <a:blip r:embed="rId26"/>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mapa temático identificou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0" name="Picture"/>
            <a:graphic>
              <a:graphicData uri="http://schemas.openxmlformats.org/drawingml/2006/picture">
                <pic:pic>
                  <pic:nvPicPr>
                    <pic:cNvPr descr="figuras/figura_mapa_tematico_372.pdf" id="31" name="Picture"/>
                    <pic:cNvPicPr>
                      <a:picLocks noChangeArrowheads="1" noChangeAspect="1"/>
                    </pic:cNvPicPr>
                  </pic:nvPicPr>
                  <pic:blipFill>
                    <a:blip r:embed="rId29"/>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A rede normalizada reforçou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3" name="Picture"/>
            <a:graphic>
              <a:graphicData uri="http://schemas.openxmlformats.org/drawingml/2006/picture">
                <pic:pic>
                  <pic:nvPicPr>
                    <pic:cNvPr descr="figuras/figura_rede_coocorrencia_372.pdf" id="34" name="Picture"/>
                    <pic:cNvPicPr>
                      <a:picLocks noChangeArrowheads="1" noChangeAspect="1"/>
                    </pic:cNvPicPr>
                  </pic:nvPicPr>
                  <pic:blipFill>
                    <a:blip r:embed="rId32"/>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A comparação temporal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6" name="Picture"/>
            <a:graphic>
              <a:graphicData uri="http://schemas.openxmlformats.org/drawingml/2006/picture">
                <pic:pic>
                  <pic:nvPicPr>
                    <pic:cNvPr descr="figuras/figura_evolucao_tematica_372.pdf" id="37" name="Picture"/>
                    <pic:cNvPicPr>
                      <a:picLocks noChangeArrowheads="1" noChangeAspect="1"/>
                    </pic:cNvPicPr>
                  </pic:nvPicPr>
                  <pic:blipFill>
                    <a:blip r:embed="rId35"/>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8"/>
    <w:bookmarkStart w:id="42" w:name="sec:panorama"/>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0" name="Picture"/>
            <a:graphic>
              <a:graphicData uri="http://schemas.openxmlformats.org/drawingml/2006/picture">
                <pic:pic>
                  <pic:nvPicPr>
                    <pic:cNvPr descr="figuras/figura09_distribuicao_temporal_nucleo_final_104.png" id="41" name="Picture"/>
                    <pic:cNvPicPr>
                      <a:picLocks noChangeArrowheads="1" noChangeAspect="1"/>
                    </pic:cNvPicPr>
                  </pic:nvPicPr>
                  <pic:blipFill>
                    <a:blip r:embed="rId39"/>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[tab:basetipo]</w:t>
        </w:r>
      </w:hyperlink>
      <w:r>
        <w:t xml:space="preserve"> </w:t>
      </w:r>
      <w:r>
        <w:t xml:space="preserve">apresenta as duas dimensões separadamente.</w:t>
      </w:r>
    </w:p>
    <w:p>
      <w:pPr>
        <w:pStyle w:val="BodyText"/>
      </w:pPr>
      <w:r>
        <w:t xml:space="preserve">&gt;p</w:t>
      </w:r>
      <w:r>
        <w:t xml:space="preserve">3.7cm</w:t>
      </w:r>
      <w:r>
        <w:t xml:space="preserve"> </w:t>
      </w:r>
      <w:r>
        <w:t xml:space="preserve">&gt;p</w:t>
      </w:r>
      <w:r>
        <w:t xml:space="preserve">1.8cm</w:t>
      </w:r>
      <w:r>
        <w:t xml:space="preserve"> </w:t>
      </w:r>
      <w:r>
        <w:t xml:space="preserve">&gt;p</w:t>
      </w:r>
      <w:r>
        <w:t xml:space="preserve">1.8cm</w:t>
      </w:r>
      <w:r>
        <w:t xml:space="preserve"> </w:t>
      </w:r>
      <w:r>
        <w:t xml:space="preserve">Y</w:t>
      </w:r>
      <w:r>
        <w:t xml:space="preserve"> </w:t>
      </w:r>
      <w:r>
        <w:t xml:space="preserve">Categoria &amp; Registros &amp; % dos 104 &amp; Observação</w:t>
      </w:r>
      <w:r>
        <w:br/>
      </w:r>
      <w:r>
        <w:br/>
      </w:r>
      <w:r>
        <w:t xml:space="preserve">Scopus &amp; 98 &amp; 94,2 &amp; Base bibliográfica principal.</w:t>
      </w:r>
      <w:r>
        <w:br/>
      </w:r>
      <w:r>
        <w:t xml:space="preserve">Web of Science &amp; 49 &amp; 47,1 &amp; Base bibliográfica independente.</w:t>
      </w:r>
      <w:r>
        <w:br/>
      </w:r>
      <w:r>
        <w:t xml:space="preserve">Crossref &amp; 6 &amp; 5,8 &amp; Fonte complementar de metadados.</w:t>
      </w:r>
      <w:r>
        <w:br/>
      </w:r>
      <w:r>
        <w:br/>
      </w:r>
      <w:r>
        <w:t xml:space="preserve">Artigo de periódico &amp; 79 &amp; 76,0 &amp;</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w:t>
      </w:r>
      <w:r>
        <w:br/>
      </w:r>
      <w:r>
        <w:t xml:space="preserve">Trabalho em evento &amp; 15 &amp; 14,4 &amp;</w:t>
      </w:r>
      <w:r>
        <w:t xml:space="preserve"> </w:t>
      </w:r>
      <w:r>
        <w:rPr>
          <w:iCs/>
          <w:i/>
        </w:rPr>
        <w:t xml:space="preserve">Conference Proceeding</w:t>
      </w:r>
      <w:r>
        <w:t xml:space="preserve"> </w:t>
      </w:r>
      <w:r>
        <w:t xml:space="preserve">e</w:t>
      </w:r>
      <w:r>
        <w:t xml:space="preserve"> </w:t>
      </w:r>
      <w:r>
        <w:rPr>
          <w:iCs/>
          <w:i/>
        </w:rPr>
        <w:t xml:space="preserve">CPAPER</w:t>
      </w:r>
      <w:r>
        <w:t xml:space="preserve">.</w:t>
      </w:r>
      <w:r>
        <w:br/>
      </w:r>
      <w:r>
        <w:t xml:space="preserve">Livro ou série de livro &amp; 10 &amp; 9,6 &amp;</w:t>
      </w:r>
      <w:r>
        <w:t xml:space="preserve"> </w:t>
      </w:r>
      <w:r>
        <w:rPr>
          <w:iCs/>
          <w:i/>
        </w:rPr>
        <w:t xml:space="preserve">Book Series</w:t>
      </w:r>
      <w:r>
        <w:t xml:space="preserve"> </w:t>
      </w:r>
      <w:r>
        <w:t xml:space="preserve">e</w:t>
      </w:r>
      <w:r>
        <w:t xml:space="preserve"> </w:t>
      </w:r>
      <w:r>
        <w:rPr>
          <w:iCs/>
          <w:i/>
        </w:rPr>
        <w:t xml:space="preserve">Book</w:t>
      </w:r>
      <w:r>
        <w:t xml:space="preserve">.</w:t>
      </w:r>
      <w:r>
        <w:br/>
      </w:r>
    </w:p>
    <w:bookmarkEnd w:id="42"/>
    <w:bookmarkStart w:id="46" w:name="sec:criterios"/>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4" name="Picture"/>
            <a:graphic>
              <a:graphicData uri="http://schemas.openxmlformats.org/drawingml/2006/picture">
                <pic:pic>
                  <pic:nvPicPr>
                    <pic:cNvPr descr="figuras/figura12_dimensoes_sustentabilidade_nucleo_final_104.png" id="45" name="Picture"/>
                    <pic:cNvPicPr>
                      <a:picLocks noChangeArrowheads="1" noChangeAspect="1"/>
                    </pic:cNvPicPr>
                  </pic:nvPicPr>
                  <pic:blipFill>
                    <a:blip r:embed="rId43"/>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p>
      <w:pPr>
        <w:pStyle w:val="BodyText"/>
      </w:pPr>
      <w:r>
        <w:t xml:space="preserve">Y &gt;p</w:t>
      </w:r>
      <w:r>
        <w:t xml:space="preserve">2.1cm</w:t>
      </w:r>
      <w:r>
        <w:t xml:space="preserve"> </w:t>
      </w:r>
      <w:r>
        <w:t xml:space="preserve">&gt;p</w:t>
      </w:r>
      <w:r>
        <w:t xml:space="preserve">2.1cm</w:t>
      </w:r>
      <w:r>
        <w:t xml:space="preserve"> </w:t>
      </w:r>
      <w:r>
        <w:t xml:space="preserve">Critério &amp; Registros &amp; % dos 104</w:t>
      </w:r>
      <w:r>
        <w:br/>
      </w:r>
      <w:r>
        <w:t xml:space="preserve">Desempenho operacional &amp; 93 &amp; 89,4</w:t>
      </w:r>
      <w:r>
        <w:br/>
      </w:r>
      <w:r>
        <w:t xml:space="preserve">Informação e dados &amp; 76 &amp; 73,1</w:t>
      </w:r>
      <w:r>
        <w:br/>
      </w:r>
      <w:r>
        <w:t xml:space="preserve">Custo &amp; 60 &amp; 57,7</w:t>
      </w:r>
      <w:r>
        <w:br/>
      </w:r>
      <w:r>
        <w:t xml:space="preserve">Vida útil &amp; 40 &amp; 38,5</w:t>
      </w:r>
      <w:r>
        <w:br/>
      </w:r>
      <w:r>
        <w:t xml:space="preserve">Energia &amp; 36 &amp; 34,6</w:t>
      </w:r>
      <w:r>
        <w:br/>
      </w:r>
      <w:r>
        <w:t xml:space="preserve">Risco &amp; 31 &amp; 29,8</w:t>
      </w:r>
      <w:r>
        <w:br/>
      </w:r>
      <w:r>
        <w:t xml:space="preserve">Condição física &amp; 27 &amp; 26,0</w:t>
      </w:r>
      <w:r>
        <w:br/>
      </w:r>
      <w:r>
        <w:t xml:space="preserve">Manutenibilidade &amp; 19 &amp; 18,3</w:t>
      </w:r>
      <w:r>
        <w:br/>
      </w:r>
      <w:r>
        <w:t xml:space="preserve">Conforto &amp; 17 &amp; 16,3</w:t>
      </w:r>
      <w:r>
        <w:br/>
      </w:r>
      <w:r>
        <w:t xml:space="preserve">Segurança &amp; 17 &amp; 16,3</w:t>
      </w:r>
      <w:r>
        <w:br/>
      </w:r>
      <w:r>
        <w:t xml:space="preserve">Emissões de carbono &amp; 15 &amp; 14,4</w:t>
      </w:r>
      <w:r>
        <w:br/>
      </w:r>
      <w:r>
        <w:t xml:space="preserve">Resíduos &amp; 13 &amp; 12,5</w:t>
      </w:r>
      <w:r>
        <w:br/>
      </w:r>
      <w:r>
        <w:t xml:space="preserve">Satisfação do usuário &amp; 9 &amp; 8,7</w:t>
      </w:r>
      <w:r>
        <w:br/>
      </w:r>
      <w:r>
        <w:t xml:space="preserve">Qualidade de serviço &amp; 6 &amp; 5,8</w:t>
      </w:r>
      <w:r>
        <w:br/>
      </w:r>
      <w:r>
        <w:t xml:space="preserve">Água &amp; 5 &amp; 4,8</w:t>
      </w:r>
      <w:r>
        <w:br/>
      </w:r>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6"/>
    <w:bookmarkStart w:id="50" w:name="sec:metodos"/>
    <w:p>
      <w:pPr>
        <w:pStyle w:val="Heading1"/>
      </w:pPr>
      <w:r>
        <w:t xml:space="preserve">Métodos de apoio à decisão</w:t>
      </w:r>
    </w:p>
    <w:p>
      <w:pPr>
        <w:pStyle w:val="FirstParagraph"/>
      </w:pPr>
      <w:r>
        <w:t xml:space="preserve">A categoria ampla</w:t>
      </w:r>
      <w:r>
        <w:t xml:space="preserve"> </w:t>
      </w:r>
      <w:r>
        <w:rPr>
          <w:iCs/>
          <w:i/>
        </w:rPr>
        <w:t xml:space="preserve">framework</w:t>
      </w:r>
      <w:r>
        <w:t xml:space="preserve"> </w:t>
      </w:r>
      <w:r>
        <w:t xml:space="preserve">foi atribuída a 96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8" name="Picture"/>
            <a:graphic>
              <a:graphicData uri="http://schemas.openxmlformats.org/drawingml/2006/picture">
                <pic:pic>
                  <pic:nvPicPr>
                    <pic:cNvPr descr="figuras/figura11_metodos_mcdm_mais_frequentes_nucleo_final_104.png" id="49" name="Picture"/>
                    <pic:cNvPicPr>
                      <a:picLocks noChangeArrowheads="1" noChangeAspect="1"/>
                    </pic:cNvPicPr>
                  </pic:nvPicPr>
                  <pic:blipFill>
                    <a:blip r:embed="rId47"/>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26 registros (25,0%) e</w:t>
      </w:r>
      <w:r>
        <w:t xml:space="preserve"> </w:t>
      </w:r>
      <w:r>
        <w:rPr>
          <w:iCs/>
          <w:i/>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Menassa, and Kamat (2021)</w:t>
      </w:r>
      <w:r>
        <w:t xml:space="preserve"> </w:t>
      </w:r>
      <w:r>
        <w:t xml:space="preserve">não encontraram, entre 123 estudos,</w:t>
      </w:r>
      <w:r>
        <w:t xml:space="preserve"> </w:t>
      </w:r>
      <w:r>
        <w:rPr>
          <w:iCs/>
          <w:i/>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Khan, and Munive-Hernandez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Kwon, and Ahn 2019)</w:t>
      </w:r>
      <w:r>
        <w:t xml:space="preserve">. Assim, menção a método, aplicação formal e validação permanecem categorias diferentes.</w:t>
      </w:r>
    </w:p>
    <w:bookmarkEnd w:id="50"/>
    <w:bookmarkStart w:id="51" w:name="sec:aplicabilidade"/>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Cs/>
          <w:i/>
        </w:rPr>
        <w:t xml:space="preserve">campus</w:t>
      </w:r>
      <w:r>
        <w:t xml:space="preserve">, cinco edifícios públicos, cinco escolas, quatro patrimônios históricos e um museu. As categorias são respostas múltiplas; edificação genérica é uma categoria-guarda-chuva, não uma tipologia homogênea.</w:t>
      </w:r>
    </w:p>
    <w:p>
      <w:pPr>
        <w:pStyle w:val="BodyText"/>
      </w:pPr>
      <w:r>
        <w:t xml:space="preserve">Y &gt;p</w:t>
      </w:r>
      <w:r>
        <w:t xml:space="preserve">2.1cm</w:t>
      </w:r>
      <w:r>
        <w:t xml:space="preserve"> </w:t>
      </w:r>
      <w:r>
        <w:t xml:space="preserve">&gt;p</w:t>
      </w:r>
      <w:r>
        <w:t xml:space="preserve">2.1cm</w:t>
      </w:r>
      <w:r>
        <w:t xml:space="preserve"> </w:t>
      </w:r>
      <w:r>
        <w:t xml:space="preserve">Contexto &amp; Registros &amp; % dos 104</w:t>
      </w:r>
      <w:r>
        <w:br/>
      </w:r>
      <w:r>
        <w:t xml:space="preserve">Edificação genérica &amp; 93 &amp; 89,4</w:t>
      </w:r>
      <w:r>
        <w:br/>
      </w:r>
      <w:r>
        <w:t xml:space="preserve">Portfólio predial &amp; 58 &amp; 55,8</w:t>
      </w:r>
      <w:r>
        <w:br/>
      </w:r>
      <w:r>
        <w:t xml:space="preserve">Hospital &amp; 17 &amp; 16,3</w:t>
      </w:r>
      <w:r>
        <w:br/>
      </w:r>
      <w:r>
        <w:t xml:space="preserve">Edifício comercial &amp; 15 &amp; 14,4</w:t>
      </w:r>
      <w:r>
        <w:br/>
      </w:r>
      <w:r>
        <w:t xml:space="preserve">Edifício residencial &amp; 12 &amp; 11,5</w:t>
      </w:r>
      <w:r>
        <w:br/>
      </w:r>
      <w:r>
        <w:t xml:space="preserve">Universidade &amp; 11 &amp; 10,6</w:t>
      </w:r>
      <w:r>
        <w:br/>
      </w:r>
      <w:r>
        <w:rPr>
          <w:iCs/>
          <w:i/>
        </w:rPr>
        <w:t xml:space="preserve">Campus</w:t>
      </w:r>
      <w:r>
        <w:t xml:space="preserve"> </w:t>
      </w:r>
      <w:r>
        <w:t xml:space="preserve">&amp; 10 &amp; 9,6</w:t>
      </w:r>
      <w:r>
        <w:br/>
      </w:r>
      <w:r>
        <w:t xml:space="preserve">Edifício público &amp; 5 &amp; 4,8</w:t>
      </w:r>
      <w:r>
        <w:br/>
      </w:r>
      <w:r>
        <w:t xml:space="preserve">Escola &amp; 5 &amp; 4,8</w:t>
      </w:r>
      <w:r>
        <w:br/>
      </w:r>
      <w:r>
        <w:t xml:space="preserve">Patrimônio histórico &amp; 4 &amp; 3,8</w:t>
      </w:r>
      <w:r>
        <w:br/>
      </w:r>
      <w:r>
        <w:t xml:space="preserve">Museu &amp; 1 &amp; 1,0</w:t>
      </w:r>
      <w:r>
        <w:br/>
      </w:r>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Cs/>
          <w:i/>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1"/>
    <w:bookmarkStart w:id="58"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88 registros; informação e dados têm 71 coocorrências com</w:t>
      </w:r>
      <w:r>
        <w:t xml:space="preserve"> </w:t>
      </w:r>
      <w:r>
        <w:rPr>
          <w:iCs/>
          <w:i/>
        </w:rPr>
        <w:t xml:space="preserve">framework</w:t>
      </w:r>
      <w:r>
        <w:t xml:space="preserve"> </w:t>
      </w:r>
      <w:r>
        <w:t xml:space="preserve">e 26 com BIM; custo e</w:t>
      </w:r>
      <w:r>
        <w:t xml:space="preserve"> </w:t>
      </w:r>
      <w:r>
        <w:rPr>
          <w:iCs/>
          <w:i/>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3" name="Picture"/>
            <a:graphic>
              <a:graphicData uri="http://schemas.openxmlformats.org/drawingml/2006/picture">
                <pic:pic>
                  <pic:nvPicPr>
                    <pic:cNvPr descr="figuras/figura13_heatmap_criterios_metodos_nucleo_final_104.png" id="54" name="Picture"/>
                    <pic:cNvPicPr>
                      <a:picLocks noChangeArrowheads="1" noChangeAspect="1"/>
                    </pic:cNvPicPr>
                  </pic:nvPicPr>
                  <pic:blipFill>
                    <a:blip r:embed="rId52"/>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95 coocorrências com</w:t>
      </w:r>
      <w:r>
        <w:t xml:space="preserve"> </w:t>
      </w:r>
      <w:r>
        <w:rPr>
          <w:iCs/>
          <w:i/>
        </w:rPr>
        <w:t xml:space="preserve">framework</w:t>
      </w:r>
      <w:r>
        <w:t xml:space="preserve">, 25 com</w:t>
      </w:r>
      <w:r>
        <w:t xml:space="preserve"> </w:t>
      </w:r>
      <w:r>
        <w:rPr>
          <w:iCs/>
          <w:i/>
        </w:rPr>
        <w:t xml:space="preserve">decision support</w:t>
      </w:r>
      <w:r>
        <w:t xml:space="preserve"> </w:t>
      </w:r>
      <w:r>
        <w:t xml:space="preserve">e 26 com BIM; a institucional tem 85 com</w:t>
      </w:r>
      <w:r>
        <w:t xml:space="preserve"> </w:t>
      </w:r>
      <w:r>
        <w:rPr>
          <w:iCs/>
          <w:i/>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p>
      <w:pPr>
        <w:pStyle w:val="CaptionedFigure"/>
      </w:pPr>
      <w:r>
        <w:drawing>
          <wp:inline>
            <wp:extent cx="5334000" cy="2844799"/>
            <wp:effectExtent b="0" l="0" r="0" t="0"/>
            <wp:docPr descr="" title="" id="56" name="Picture"/>
            <a:graphic>
              <a:graphicData uri="http://schemas.openxmlformats.org/drawingml/2006/picture">
                <pic:pic>
                  <pic:nvPicPr>
                    <pic:cNvPr descr="figuras/figura14_matriz_analitica_dimensao_metodo_nucleo_final_104.png" id="57" name="Picture"/>
                    <pic:cNvPicPr>
                      <a:picLocks noChangeArrowheads="1" noChangeAspect="1"/>
                    </pic:cNvPicPr>
                  </pic:nvPicPr>
                  <pic:blipFill>
                    <a:blip r:embed="rId5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[tab:protocolooperacional]</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[tab:especificacaoindicadores]</w:t>
        </w:r>
      </w:hyperlink>
      <w:r>
        <w:t xml:space="preserve"> </w:t>
      </w:r>
      <w:r>
        <w:t xml:space="preserve">detalha a especificação operacional correspondente, com indicador, fonte dos dados, periodicidade e direção de preferência.</w:t>
      </w:r>
    </w:p>
    <w:p>
      <w:pPr>
        <w:pStyle w:val="BodyText"/>
      </w:pPr>
      <w:r>
        <w:t xml:space="preserve">&gt;p</w:t>
      </w:r>
      <w:r>
        <w:t xml:space="preserve">4.2cm</w:t>
      </w:r>
      <w:r>
        <w:t xml:space="preserve"> </w:t>
      </w:r>
      <w:r>
        <w:t xml:space="preserve">Y</w:t>
      </w:r>
      <w:r>
        <w:t xml:space="preserve"> </w:t>
      </w:r>
      <w:r>
        <w:t xml:space="preserve">Dimensão e critério &amp; Evidência da revisão</w:t>
      </w:r>
      <w:r>
        <w:br/>
      </w:r>
      <w:r>
        <w:t xml:space="preserve">Técnica-operacional: desempenho e falha &amp; Desempenho em 93 registros; gestão de facilidades conectada a operação e manutenção na rede.</w:t>
      </w:r>
      <w:r>
        <w:br/>
      </w:r>
      <w:r>
        <w:t xml:space="preserve">Técnica-operacional: informação e dados &amp; Informação em 76 registros; BIM em 26 e</w:t>
      </w:r>
      <w:r>
        <w:t xml:space="preserve"> </w:t>
      </w:r>
      <w:r>
        <w:rPr>
          <w:iCs/>
          <w:i/>
        </w:rPr>
        <w:t xml:space="preserve">digital twin</w:t>
      </w:r>
      <w:r>
        <w:t xml:space="preserve"> </w:t>
      </w:r>
      <w:r>
        <w:t xml:space="preserve">em oito; perdas de informação observadas por</w:t>
      </w:r>
      <w:r>
        <w:t xml:space="preserve"> </w:t>
      </w:r>
      <w:r>
        <w:t xml:space="preserve">Tan, Zaman, and Sutrisna (2018)</w:t>
      </w:r>
      <w:r>
        <w:t xml:space="preserve">.</w:t>
      </w:r>
      <w:r>
        <w:br/>
      </w:r>
      <w:r>
        <w:t xml:space="preserve">Técnica-operacional: condição e vida útil &amp; Condição em 27, vida útil em 40 e ciclo de vida em 60; manutenibilidade apoiada por</w:t>
      </w:r>
      <w:r>
        <w:t xml:space="preserve"> </w:t>
      </w:r>
      <w:r>
        <w:t xml:space="preserve">Othman and Kamal (2023)</w:t>
      </w:r>
      <w:r>
        <w:t xml:space="preserve">.</w:t>
      </w:r>
      <w:r>
        <w:br/>
      </w:r>
      <w:r>
        <w:t xml:space="preserve">Institucional: conformidade &amp; Dimensão institucional em 92 registros; adaptação contextual necessária em</w:t>
      </w:r>
      <w:r>
        <w:t xml:space="preserve"> </w:t>
      </w:r>
      <w:r>
        <w:t xml:space="preserve">Talib, Rajagopalan, and Yang (2013)</w:t>
      </w:r>
      <w:r>
        <w:t xml:space="preserve">.</w:t>
      </w:r>
      <w:r>
        <w:br/>
      </w:r>
      <w:r>
        <w:t xml:space="preserve">Econômica: custo &amp; Custo em 60 registros; previsão e ciclo de vida em</w:t>
      </w:r>
      <w:r>
        <w:t xml:space="preserve"> </w:t>
      </w:r>
      <w:r>
        <w:t xml:space="preserve">Kim et al. (2018; Nägeli et al. 2019)</w:t>
      </w:r>
      <w:r>
        <w:t xml:space="preserve">.</w:t>
      </w:r>
      <w:r>
        <w:br/>
      </w:r>
      <w:r>
        <w:t xml:space="preserve">Ambiental: energia &amp; Dimensão ambiental em 84 e energia em 36 registros; crescimento de ciclo de vida e carbono no período recente.</w:t>
      </w:r>
      <w:r>
        <w:br/>
      </w:r>
      <w:r>
        <w:t xml:space="preserve">Social: impacto nos usuários &amp; Dimensão social em 57; conforto em 17, segurança em 17 e satisfação em nove registros.</w:t>
      </w:r>
      <w:r>
        <w:br/>
      </w:r>
    </w:p>
    <w:p>
      <w:pPr>
        <w:pStyle w:val="BodyText"/>
      </w:pPr>
      <w:r>
        <w:t xml:space="preserve">&gt;p</w:t>
      </w:r>
      <w:r>
        <w:t xml:space="preserve">2.7cm</w:t>
      </w:r>
      <w:r>
        <w:t xml:space="preserve"> </w:t>
      </w:r>
      <w:r>
        <w:t xml:space="preserve">Y &gt;p</w:t>
      </w:r>
      <w:r>
        <w:t xml:space="preserve">2.4cm</w:t>
      </w:r>
      <w:r>
        <w:t xml:space="preserve"> </w:t>
      </w:r>
      <w:r>
        <w:t xml:space="preserve">&gt;p</w:t>
      </w:r>
      <w:r>
        <w:t xml:space="preserve">1.5cm</w:t>
      </w:r>
      <w:r>
        <w:t xml:space="preserve"> </w:t>
      </w:r>
      <w:r>
        <w:t xml:space="preserve">&gt;p</w:t>
      </w:r>
      <w:r>
        <w:t xml:space="preserve">1.0cm</w:t>
      </w:r>
      <w:r>
        <w:t xml:space="preserve"> </w:t>
      </w:r>
      <w:r>
        <w:t xml:space="preserve">Critério &amp; Indicador candidato &amp; Fonte &amp; Period. &amp; Pref.</w:t>
      </w:r>
      <w:r>
        <w:br/>
      </w:r>
      <w:r>
        <w:t xml:space="preserve">Desempenho e falha &amp; Ordens recorrentes por sistema, % das ordens &amp; Ordens de serviço &amp; Mensal &amp; Menor</w:t>
      </w:r>
      <w:r>
        <w:br/>
      </w:r>
      <w:r>
        <w:t xml:space="preserve">Informação e dados &amp; Ativos com cadastro e histórico completos, % &amp; Cadastro e ordens &amp; Trimestral &amp; Maior</w:t>
      </w:r>
      <w:r>
        <w:br/>
      </w:r>
      <w:r>
        <w:t xml:space="preserve">Condição e vida útil &amp; Índice de condição, escala institucional &amp; Inspeção e cadastro &amp; Semestral &amp; Maior</w:t>
      </w:r>
      <w:r>
        <w:br/>
      </w:r>
      <w:r>
        <w:t xml:space="preserve">Conformidade &amp; Requisitos atendidos, % &amp; Laudos e auditorias &amp; Anual &amp; Maior</w:t>
      </w:r>
      <w:r>
        <w:br/>
      </w:r>
      <w:r>
        <w:t xml:space="preserve">Custo &amp; Custo estimado por área, R$/m</w:t>
      </w:r>
      <m:oMath>
        <m:sSup>
          <m:e>
            <m:r>
              <m:t>​</m:t>
            </m:r>
          </m:e>
          <m:sup>
            <m:r>
              <m:t>2</m:t>
            </m:r>
          </m:sup>
        </m:sSup>
      </m:oMath>
      <w:r>
        <w:t xml:space="preserve"> </w:t>
      </w:r>
      <w:r>
        <w:t xml:space="preserve">&amp; Orçamentos e SINAPI &amp; Semestral &amp; Menor</w:t>
      </w:r>
      <w:r>
        <w:br/>
      </w:r>
      <w:r>
        <w:t xml:space="preserve">Energia &amp; Consumo anual por área, kWh/m</w:t>
      </w:r>
      <m:oMath>
        <m:sSup>
          <m:e>
            <m:r>
              <m:t>​</m:t>
            </m:r>
          </m:e>
          <m:sup>
            <m:r>
              <m:t>2</m:t>
            </m:r>
          </m:sup>
        </m:sSup>
      </m:oMath>
      <w:r>
        <w:t xml:space="preserve">/ano &amp; Faturas ou medidores &amp; Mensal &amp; Menor</w:t>
      </w:r>
      <w:r>
        <w:br/>
      </w:r>
      <w:r>
        <w:t xml:space="preserve">Impacto nos usuários &amp; Reclamações por 100 usuários &amp; Ouvidoria e chamados &amp; Trimestral &amp; Menor</w:t>
      </w:r>
      <w:r>
        <w:br/>
      </w:r>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8"/>
    <w:bookmarkStart w:id="63" w:name="sec:discussao"/>
    <w:p>
      <w:pPr>
        <w:pStyle w:val="Heading1"/>
      </w:pPr>
      <w:r>
        <w:t xml:space="preserve">Discussão</w:t>
      </w:r>
    </w:p>
    <w:bookmarkStart w:id="59"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84,6%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w:t>
      </w:r>
      <w:hyperlink w:anchor="sec:metodos">
        <w:r>
          <w:rPr>
            <w:rStyle w:val="Hyperlink"/>
          </w:rPr>
          <w:t xml:space="preserve">7</w:t>
        </w:r>
      </w:hyperlink>
      <w:r>
        <w:t xml:space="preserve"> </w:t>
      </w:r>
      <w:r>
        <w:t xml:space="preserve">qualificam essa conexão</w:t>
      </w:r>
      <w:r>
        <w:t xml:space="preserve"> </w:t>
      </w:r>
      <w:r>
        <w:t xml:space="preserve">(Deng, Menassa, and Kamat 2021; Espinosa Gispert et al. 2025; Goretti and Kaming 2023)</w:t>
      </w:r>
      <w:r>
        <w:t xml:space="preserve">. O campo avança em capacidade informacional, mas permanece heterogêneo em maturidade e validação.</w:t>
      </w:r>
    </w:p>
    <w:bookmarkEnd w:id="59"/>
    <w:bookmarkStart w:id="60"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0"/>
    <w:bookmarkStart w:id="61"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1"/>
    <w:bookmarkStart w:id="62"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2"/>
    <w:bookmarkEnd w:id="63"/>
    <w:bookmarkStart w:id="64"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Cs/>
          <w:b/>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Cs/>
          <w:b/>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4"/>
    <w:bookmarkStart w:id="135"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Cs/>
          <w:b/>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4" w:name="refs"/>
    <w:bookmarkStart w:id="66" w:name="ref-aldairi_lean6sbm_2017"/>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5">
        <w:r>
          <w:rPr>
            <w:rStyle w:val="Hyperlink"/>
          </w:rPr>
          <w:t xml:space="preserve">https://doi.org/10.1108/IJLSS-09-2015-0035</w:t>
        </w:r>
      </w:hyperlink>
      <w:r>
        <w:t xml:space="preserve">.</w:t>
      </w:r>
    </w:p>
    <w:bookmarkEnd w:id="66"/>
    <w:bookmarkStart w:id="68"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7">
        <w:r>
          <w:rPr>
            <w:rStyle w:val="Hyperlink"/>
          </w:rPr>
          <w:t xml:space="preserve">https://doi.org/10.3390/su14169955</w:t>
        </w:r>
      </w:hyperlink>
      <w:r>
        <w:t xml:space="preserve">.</w:t>
      </w:r>
    </w:p>
    <w:bookmarkEnd w:id="68"/>
    <w:bookmarkStart w:id="70"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69">
        <w:r>
          <w:rPr>
            <w:rStyle w:val="Hyperlink"/>
          </w:rPr>
          <w:t xml:space="preserve">https://doi.org/10.21315/jcdc.2025.30.2.6</w:t>
        </w:r>
      </w:hyperlink>
      <w:r>
        <w:t xml:space="preserve">.</w:t>
      </w:r>
    </w:p>
    <w:bookmarkEnd w:id="70"/>
    <w:bookmarkStart w:id="72"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1">
        <w:r>
          <w:rPr>
            <w:rStyle w:val="Hyperlink"/>
          </w:rPr>
          <w:t xml:space="preserve">https://doi.org/10.18607/ES201532557</w:t>
        </w:r>
      </w:hyperlink>
      <w:r>
        <w:t xml:space="preserve">.</w:t>
      </w:r>
    </w:p>
    <w:bookmarkEnd w:id="72"/>
    <w:bookmarkStart w:id="73"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3"/>
    <w:bookmarkStart w:id="75"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4">
        <w:r>
          <w:rPr>
            <w:rStyle w:val="Hyperlink"/>
          </w:rPr>
          <w:t xml:space="preserve">https://doi.org/10.18820/24150487/as24i2.4</w:t>
        </w:r>
      </w:hyperlink>
      <w:r>
        <w:t xml:space="preserve">.</w:t>
      </w:r>
    </w:p>
    <w:bookmarkEnd w:id="75"/>
    <w:bookmarkStart w:id="77"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76">
        <w:r>
          <w:rPr>
            <w:rStyle w:val="Hyperlink"/>
          </w:rPr>
          <w:t xml:space="preserve">https://doi.org/10.1108/SS-02-2016-0007</w:t>
        </w:r>
      </w:hyperlink>
      <w:r>
        <w:t xml:space="preserve">.</w:t>
      </w:r>
    </w:p>
    <w:bookmarkEnd w:id="77"/>
    <w:bookmarkStart w:id="79"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78">
        <w:r>
          <w:rPr>
            <w:rStyle w:val="Hyperlink"/>
          </w:rPr>
          <w:t xml:space="preserve">https://doi.org/10.1108/F-09-2018-0107</w:t>
        </w:r>
      </w:hyperlink>
      <w:r>
        <w:t xml:space="preserve">.</w:t>
      </w:r>
    </w:p>
    <w:bookmarkEnd w:id="79"/>
    <w:bookmarkStart w:id="81"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0">
        <w:r>
          <w:rPr>
            <w:rStyle w:val="Hyperlink"/>
          </w:rPr>
          <w:t xml:space="preserve">https://www.crossref.org/documentation/retrieve-metadata/rest-api/</w:t>
        </w:r>
      </w:hyperlink>
      <w:r>
        <w:t xml:space="preserve">.</w:t>
      </w:r>
    </w:p>
    <w:bookmarkEnd w:id="81"/>
    <w:bookmarkStart w:id="83"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2">
        <w:r>
          <w:rPr>
            <w:rStyle w:val="Hyperlink"/>
          </w:rPr>
          <w:t xml:space="preserve">https://doi.org/10.36680/j.itcon.2021.005</w:t>
        </w:r>
      </w:hyperlink>
      <w:r>
        <w:t xml:space="preserve">.</w:t>
      </w:r>
    </w:p>
    <w:bookmarkEnd w:id="83"/>
    <w:bookmarkStart w:id="85"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84">
        <w:r>
          <w:rPr>
            <w:rStyle w:val="Hyperlink"/>
          </w:rPr>
          <w:t xml:space="preserve">https://doi.org/10.1016/j.jbusres.2021.04.070</w:t>
        </w:r>
      </w:hyperlink>
      <w:r>
        <w:t xml:space="preserve">.</w:t>
      </w:r>
    </w:p>
    <w:bookmarkEnd w:id="85"/>
    <w:bookmarkStart w:id="87"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86">
        <w:r>
          <w:rPr>
            <w:rStyle w:val="Hyperlink"/>
          </w:rPr>
          <w:t xml:space="preserve">https://doi.org/10.1108/SASBE-07-2023-0170</w:t>
        </w:r>
      </w:hyperlink>
      <w:r>
        <w:t xml:space="preserve">.</w:t>
      </w:r>
    </w:p>
    <w:bookmarkEnd w:id="87"/>
    <w:bookmarkStart w:id="89"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88">
        <w:r>
          <w:rPr>
            <w:rStyle w:val="Hyperlink"/>
          </w:rPr>
          <w:t xml:space="preserve">https://doi.org/10.1080/15732479.2019.1652657</w:t>
        </w:r>
      </w:hyperlink>
      <w:r>
        <w:t xml:space="preserve">.</w:t>
      </w:r>
    </w:p>
    <w:bookmarkEnd w:id="89"/>
    <w:bookmarkStart w:id="91"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0">
        <w:r>
          <w:rPr>
            <w:rStyle w:val="Hyperlink"/>
          </w:rPr>
          <w:t xml:space="preserve">https://doi.org/10.1051/e3sconf/202342901002</w:t>
        </w:r>
      </w:hyperlink>
      <w:r>
        <w:t xml:space="preserve">.</w:t>
      </w:r>
    </w:p>
    <w:bookmarkEnd w:id="91"/>
    <w:bookmarkStart w:id="93"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2">
        <w:r>
          <w:rPr>
            <w:rStyle w:val="Hyperlink"/>
          </w:rPr>
          <w:t xml:space="preserve">https://doi.org/10.3758/s13428-026-02961-x</w:t>
        </w:r>
      </w:hyperlink>
      <w:r>
        <w:t xml:space="preserve">.</w:t>
      </w:r>
    </w:p>
    <w:bookmarkEnd w:id="93"/>
    <w:bookmarkStart w:id="95"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94">
        <w:r>
          <w:rPr>
            <w:rStyle w:val="Hyperlink"/>
          </w:rPr>
          <w:t xml:space="preserve">https://doi.org/10.1093/database/bat086</w:t>
        </w:r>
      </w:hyperlink>
      <w:r>
        <w:t xml:space="preserve">.</w:t>
      </w:r>
    </w:p>
    <w:bookmarkEnd w:id="95"/>
    <w:bookmarkStart w:id="97"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96">
        <w:r>
          <w:rPr>
            <w:rStyle w:val="Hyperlink"/>
          </w:rPr>
          <w:t xml:space="preserve">https://doi.org/10.3130/jaabe.17.307</w:t>
        </w:r>
      </w:hyperlink>
      <w:r>
        <w:t xml:space="preserve">.</w:t>
      </w:r>
    </w:p>
    <w:bookmarkEnd w:id="97"/>
    <w:bookmarkStart w:id="99"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98">
        <w:r>
          <w:rPr>
            <w:rStyle w:val="Hyperlink"/>
          </w:rPr>
          <w:t xml:space="preserve">https://doi.org/10.47179/abcustos.v19i1.719</w:t>
        </w:r>
      </w:hyperlink>
      <w:r>
        <w:t xml:space="preserve">.</w:t>
      </w:r>
    </w:p>
    <w:bookmarkEnd w:id="99"/>
    <w:bookmarkStart w:id="101"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0">
        <w:r>
          <w:rPr>
            <w:rStyle w:val="Hyperlink"/>
          </w:rPr>
          <w:t xml:space="preserve">https://doi.org/10.1111/itor.70022</w:t>
        </w:r>
      </w:hyperlink>
      <w:r>
        <w:t xml:space="preserve">.</w:t>
      </w:r>
    </w:p>
    <w:bookmarkEnd w:id="101"/>
    <w:bookmarkStart w:id="103"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02">
        <w:r>
          <w:rPr>
            <w:rStyle w:val="Hyperlink"/>
          </w:rPr>
          <w:t xml:space="preserve">https://doi.org/10.18830/issn.1679-0944.n34.2023.08</w:t>
        </w:r>
      </w:hyperlink>
      <w:r>
        <w:t xml:space="preserve">.</w:t>
      </w:r>
    </w:p>
    <w:bookmarkEnd w:id="103"/>
    <w:bookmarkStart w:id="105"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04">
        <w:r>
          <w:rPr>
            <w:rStyle w:val="Hyperlink"/>
          </w:rPr>
          <w:t xml:space="preserve">https://doi.org/10.1016/j.buildenv.2019.106212</w:t>
        </w:r>
      </w:hyperlink>
      <w:r>
        <w:t xml:space="preserve">.</w:t>
      </w:r>
    </w:p>
    <w:bookmarkEnd w:id="105"/>
    <w:bookmarkStart w:id="107"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06">
        <w:r>
          <w:rPr>
            <w:rStyle w:val="Hyperlink"/>
          </w:rPr>
          <w:t xml:space="preserve">https://doi.org/10.1061/JCEMD4.COENG-13154</w:t>
        </w:r>
      </w:hyperlink>
      <w:r>
        <w:t xml:space="preserve">.</w:t>
      </w:r>
    </w:p>
    <w:bookmarkEnd w:id="107"/>
    <w:bookmarkStart w:id="109"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08">
        <w:r>
          <w:rPr>
            <w:rStyle w:val="Hyperlink"/>
          </w:rPr>
          <w:t xml:space="preserve">https://doi.org/10.56065/pdpyke84</w:t>
        </w:r>
      </w:hyperlink>
      <w:r>
        <w:t xml:space="preserve">.</w:t>
      </w:r>
    </w:p>
    <w:bookmarkEnd w:id="109"/>
    <w:bookmarkStart w:id="111"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10">
        <w:r>
          <w:rPr>
            <w:rStyle w:val="Hyperlink"/>
          </w:rPr>
          <w:t xml:space="preserve">https://doi.org/10.1108/F-07-2014-0060</w:t>
        </w:r>
      </w:hyperlink>
      <w:r>
        <w:t xml:space="preserve">.</w:t>
      </w:r>
    </w:p>
    <w:bookmarkEnd w:id="111"/>
    <w:bookmarkStart w:id="113"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12">
        <w:r>
          <w:rPr>
            <w:rStyle w:val="Hyperlink"/>
          </w:rPr>
          <w:t xml:space="preserve">https://doi.org/10.3390/su15043174</w:t>
        </w:r>
      </w:hyperlink>
      <w:r>
        <w:t xml:space="preserve">.</w:t>
      </w:r>
    </w:p>
    <w:bookmarkEnd w:id="113"/>
    <w:bookmarkStart w:id="115"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14">
        <w:r>
          <w:rPr>
            <w:rStyle w:val="Hyperlink"/>
          </w:rPr>
          <w:t xml:space="preserve">https://doi.org/10.3390/su14031705</w:t>
        </w:r>
      </w:hyperlink>
      <w:r>
        <w:t xml:space="preserve">.</w:t>
      </w:r>
    </w:p>
    <w:bookmarkEnd w:id="115"/>
    <w:bookmarkStart w:id="117"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16">
        <w:r>
          <w:rPr>
            <w:rStyle w:val="Hyperlink"/>
          </w:rPr>
          <w:t xml:space="preserve">https://doi.org/10.2478/otmcj-2023-0005</w:t>
        </w:r>
      </w:hyperlink>
      <w:r>
        <w:t xml:space="preserve">.</w:t>
      </w:r>
    </w:p>
    <w:bookmarkEnd w:id="117"/>
    <w:bookmarkStart w:id="119"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18">
        <w:r>
          <w:rPr>
            <w:rStyle w:val="Hyperlink"/>
          </w:rPr>
          <w:t xml:space="preserve">https://doi.org/10.3390/su11247181</w:t>
        </w:r>
      </w:hyperlink>
      <w:r>
        <w:t xml:space="preserve">.</w:t>
      </w:r>
    </w:p>
    <w:bookmarkEnd w:id="119"/>
    <w:bookmarkStart w:id="121"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20">
        <w:r>
          <w:rPr>
            <w:rStyle w:val="Hyperlink"/>
          </w:rPr>
          <w:t xml:space="preserve">https://doi.org/10.1108/IJBPA-07-2025-0169</w:t>
        </w:r>
      </w:hyperlink>
      <w:r>
        <w:t xml:space="preserve">.</w:t>
      </w:r>
    </w:p>
    <w:bookmarkEnd w:id="121"/>
    <w:bookmarkStart w:id="123"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22">
        <w:r>
          <w:rPr>
            <w:rStyle w:val="Hyperlink"/>
          </w:rPr>
          <w:t xml:space="preserve">https://doi.org/10.1186/2046-4053-4-6</w:t>
        </w:r>
      </w:hyperlink>
      <w:r>
        <w:t xml:space="preserve">.</w:t>
      </w:r>
    </w:p>
    <w:bookmarkEnd w:id="123"/>
    <w:bookmarkStart w:id="125"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24">
        <w:r>
          <w:rPr>
            <w:rStyle w:val="Hyperlink"/>
          </w:rPr>
          <w:t xml:space="preserve">https://doi.org/10.1016/j.jbusres.2019.07.039</w:t>
        </w:r>
      </w:hyperlink>
      <w:r>
        <w:t xml:space="preserve">.</w:t>
      </w:r>
    </w:p>
    <w:bookmarkEnd w:id="125"/>
    <w:bookmarkStart w:id="127"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26">
        <w:r>
          <w:rPr>
            <w:rStyle w:val="Hyperlink"/>
          </w:rPr>
          <w:t xml:space="preserve">https://doi.org/10.1108/F-06-2012-0042</w:t>
        </w:r>
      </w:hyperlink>
      <w:r>
        <w:t xml:space="preserve">.</w:t>
      </w:r>
    </w:p>
    <w:bookmarkEnd w:id="127"/>
    <w:bookmarkStart w:id="129"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28">
        <w:r>
          <w:rPr>
            <w:rStyle w:val="Hyperlink"/>
          </w:rPr>
          <w:t xml:space="preserve">https://doi.org/10.1108/F-03-2016-0028</w:t>
        </w:r>
      </w:hyperlink>
      <w:r>
        <w:t xml:space="preserve">.</w:t>
      </w:r>
    </w:p>
    <w:bookmarkEnd w:id="129"/>
    <w:bookmarkStart w:id="131"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30">
        <w:r>
          <w:rPr>
            <w:rStyle w:val="Hyperlink"/>
          </w:rPr>
          <w:t xml:space="preserve">https://doi.org/10.1111/j.1365-2648.2005.03621.x</w:t>
        </w:r>
      </w:hyperlink>
      <w:r>
        <w:t xml:space="preserve">.</w:t>
      </w:r>
    </w:p>
    <w:bookmarkEnd w:id="131"/>
    <w:bookmarkStart w:id="133"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32">
        <w:r>
          <w:rPr>
            <w:rStyle w:val="Hyperlink"/>
          </w:rPr>
          <w:t xml:space="preserve">https://doi.org/10.1061/(ASCE)CF.1943-5509.0001176</w:t>
        </w:r>
      </w:hyperlink>
      <w:r>
        <w:t xml:space="preserv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35" Target="media/rId35.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 Type="http://schemas.openxmlformats.org/officeDocument/2006/relationships/hyperlink" Id="rId104" Target="https://doi.org/10.1016/j.buildenv.2019.106212" TargetMode="External" /><Relationship Type="http://schemas.openxmlformats.org/officeDocument/2006/relationships/hyperlink" Id="rId124" Target="https://doi.org/10.1016/j.jbusres.2019.07.039" TargetMode="External" /><Relationship Type="http://schemas.openxmlformats.org/officeDocument/2006/relationships/hyperlink" Id="rId84" Target="https://doi.org/10.1016/j.jbusres.2021.04.070" TargetMode="External" /><Relationship Type="http://schemas.openxmlformats.org/officeDocument/2006/relationships/hyperlink" Id="rId90" Target="https://doi.org/10.1051/e3sconf/202342901002" TargetMode="External" /><Relationship Type="http://schemas.openxmlformats.org/officeDocument/2006/relationships/hyperlink" Id="rId132" Target="https://doi.org/10.1061/(ASCE)CF.1943-5509.0001176" TargetMode="External" /><Relationship Type="http://schemas.openxmlformats.org/officeDocument/2006/relationships/hyperlink" Id="rId106" Target="https://doi.org/10.1061/JCEMD4.COENG-13154" TargetMode="External" /><Relationship Type="http://schemas.openxmlformats.org/officeDocument/2006/relationships/hyperlink" Id="rId88" Target="https://doi.org/10.1080/15732479.2019.1652657" TargetMode="External" /><Relationship Type="http://schemas.openxmlformats.org/officeDocument/2006/relationships/hyperlink" Id="rId94" Target="https://doi.org/10.1093/database/bat086" TargetMode="External" /><Relationship Type="http://schemas.openxmlformats.org/officeDocument/2006/relationships/hyperlink" Id="rId128" Target="https://doi.org/10.1108/F-03-2016-0028" TargetMode="External" /><Relationship Type="http://schemas.openxmlformats.org/officeDocument/2006/relationships/hyperlink" Id="rId126" Target="https://doi.org/10.1108/F-06-2012-0042" TargetMode="External" /><Relationship Type="http://schemas.openxmlformats.org/officeDocument/2006/relationships/hyperlink" Id="rId110" Target="https://doi.org/10.1108/F-07-2014-0060" TargetMode="External" /><Relationship Type="http://schemas.openxmlformats.org/officeDocument/2006/relationships/hyperlink" Id="rId78" Target="https://doi.org/10.1108/F-09-2018-0107" TargetMode="External" /><Relationship Type="http://schemas.openxmlformats.org/officeDocument/2006/relationships/hyperlink" Id="rId120" Target="https://doi.org/10.1108/IJBPA-07-2025-0169" TargetMode="External" /><Relationship Type="http://schemas.openxmlformats.org/officeDocument/2006/relationships/hyperlink" Id="rId65" Target="https://doi.org/10.1108/IJLSS-09-2015-0035" TargetMode="External" /><Relationship Type="http://schemas.openxmlformats.org/officeDocument/2006/relationships/hyperlink" Id="rId86" Target="https://doi.org/10.1108/SASBE-07-2023-0170" TargetMode="External" /><Relationship Type="http://schemas.openxmlformats.org/officeDocument/2006/relationships/hyperlink" Id="rId76" Target="https://doi.org/10.1108/SS-02-2016-0007" TargetMode="External" /><Relationship Type="http://schemas.openxmlformats.org/officeDocument/2006/relationships/hyperlink" Id="rId100" Target="https://doi.org/10.1111/itor.70022" TargetMode="External" /><Relationship Type="http://schemas.openxmlformats.org/officeDocument/2006/relationships/hyperlink" Id="rId130" Target="https://doi.org/10.1111/j.1365-2648.2005.03621.x" TargetMode="External" /><Relationship Type="http://schemas.openxmlformats.org/officeDocument/2006/relationships/hyperlink" Id="rId122" Target="https://doi.org/10.1186/2046-4053-4-6" TargetMode="External" /><Relationship Type="http://schemas.openxmlformats.org/officeDocument/2006/relationships/hyperlink" Id="rId71" Target="https://doi.org/10.18607/ES201532557" TargetMode="External" /><Relationship Type="http://schemas.openxmlformats.org/officeDocument/2006/relationships/hyperlink" Id="rId74" Target="https://doi.org/10.18820/24150487/as24i2.4" TargetMode="External" /><Relationship Type="http://schemas.openxmlformats.org/officeDocument/2006/relationships/hyperlink" Id="rId102" Target="https://doi.org/10.18830/issn.1679-0944.n34.2023.08" TargetMode="External" /><Relationship Type="http://schemas.openxmlformats.org/officeDocument/2006/relationships/hyperlink" Id="rId69" Target="https://doi.org/10.21315/jcdc.2025.30.2.6" TargetMode="External" /><Relationship Type="http://schemas.openxmlformats.org/officeDocument/2006/relationships/hyperlink" Id="rId116" Target="https://doi.org/10.2478/otmcj-2023-0005" TargetMode="External" /><Relationship Type="http://schemas.openxmlformats.org/officeDocument/2006/relationships/hyperlink" Id="rId96" Target="https://doi.org/10.3130/jaabe.17.307" TargetMode="External" /><Relationship Type="http://schemas.openxmlformats.org/officeDocument/2006/relationships/hyperlink" Id="rId118" Target="https://doi.org/10.3390/su11247181" TargetMode="External" /><Relationship Type="http://schemas.openxmlformats.org/officeDocument/2006/relationships/hyperlink" Id="rId114" Target="https://doi.org/10.3390/su14031705" TargetMode="External" /><Relationship Type="http://schemas.openxmlformats.org/officeDocument/2006/relationships/hyperlink" Id="rId67" Target="https://doi.org/10.3390/su14169955" TargetMode="External" /><Relationship Type="http://schemas.openxmlformats.org/officeDocument/2006/relationships/hyperlink" Id="rId112" Target="https://doi.org/10.3390/su15043174" TargetMode="External" /><Relationship Type="http://schemas.openxmlformats.org/officeDocument/2006/relationships/hyperlink" Id="rId82" Target="https://doi.org/10.36680/j.itcon.2021.005" TargetMode="External" /><Relationship Type="http://schemas.openxmlformats.org/officeDocument/2006/relationships/hyperlink" Id="rId92" Target="https://doi.org/10.3758/s13428-026-02961-x" TargetMode="External" /><Relationship Type="http://schemas.openxmlformats.org/officeDocument/2006/relationships/hyperlink" Id="rId98" Target="https://doi.org/10.47179/abcustos.v19i1.719" TargetMode="External" /><Relationship Type="http://schemas.openxmlformats.org/officeDocument/2006/relationships/hyperlink" Id="rId108" Target="https://doi.org/10.56065/pdpyke84" TargetMode="External" /><Relationship Type="http://schemas.openxmlformats.org/officeDocument/2006/relationships/hyperlink" Id="rId80" Target="https://www.crossref.org/documentation/retrieve-metadata/rest-api/"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16/j.buildenv.2019.106212" TargetMode="External" /><Relationship Type="http://schemas.openxmlformats.org/officeDocument/2006/relationships/hyperlink" Id="rId124" Target="https://doi.org/10.1016/j.jbusres.2019.07.039" TargetMode="External" /><Relationship Type="http://schemas.openxmlformats.org/officeDocument/2006/relationships/hyperlink" Id="rId84" Target="https://doi.org/10.1016/j.jbusres.2021.04.070" TargetMode="External" /><Relationship Type="http://schemas.openxmlformats.org/officeDocument/2006/relationships/hyperlink" Id="rId90" Target="https://doi.org/10.1051/e3sconf/202342901002" TargetMode="External" /><Relationship Type="http://schemas.openxmlformats.org/officeDocument/2006/relationships/hyperlink" Id="rId132" Target="https://doi.org/10.1061/(ASCE)CF.1943-5509.0001176" TargetMode="External" /><Relationship Type="http://schemas.openxmlformats.org/officeDocument/2006/relationships/hyperlink" Id="rId106" Target="https://doi.org/10.1061/JCEMD4.COENG-13154" TargetMode="External" /><Relationship Type="http://schemas.openxmlformats.org/officeDocument/2006/relationships/hyperlink" Id="rId88" Target="https://doi.org/10.1080/15732479.2019.1652657" TargetMode="External" /><Relationship Type="http://schemas.openxmlformats.org/officeDocument/2006/relationships/hyperlink" Id="rId94" Target="https://doi.org/10.1093/database/bat086" TargetMode="External" /><Relationship Type="http://schemas.openxmlformats.org/officeDocument/2006/relationships/hyperlink" Id="rId128" Target="https://doi.org/10.1108/F-03-2016-0028" TargetMode="External" /><Relationship Type="http://schemas.openxmlformats.org/officeDocument/2006/relationships/hyperlink" Id="rId126" Target="https://doi.org/10.1108/F-06-2012-0042" TargetMode="External" /><Relationship Type="http://schemas.openxmlformats.org/officeDocument/2006/relationships/hyperlink" Id="rId110" Target="https://doi.org/10.1108/F-07-2014-0060" TargetMode="External" /><Relationship Type="http://schemas.openxmlformats.org/officeDocument/2006/relationships/hyperlink" Id="rId78" Target="https://doi.org/10.1108/F-09-2018-0107" TargetMode="External" /><Relationship Type="http://schemas.openxmlformats.org/officeDocument/2006/relationships/hyperlink" Id="rId120" Target="https://doi.org/10.1108/IJBPA-07-2025-0169" TargetMode="External" /><Relationship Type="http://schemas.openxmlformats.org/officeDocument/2006/relationships/hyperlink" Id="rId65" Target="https://doi.org/10.1108/IJLSS-09-2015-0035" TargetMode="External" /><Relationship Type="http://schemas.openxmlformats.org/officeDocument/2006/relationships/hyperlink" Id="rId86" Target="https://doi.org/10.1108/SASBE-07-2023-0170" TargetMode="External" /><Relationship Type="http://schemas.openxmlformats.org/officeDocument/2006/relationships/hyperlink" Id="rId76" Target="https://doi.org/10.1108/SS-02-2016-0007" TargetMode="External" /><Relationship Type="http://schemas.openxmlformats.org/officeDocument/2006/relationships/hyperlink" Id="rId100" Target="https://doi.org/10.1111/itor.70022" TargetMode="External" /><Relationship Type="http://schemas.openxmlformats.org/officeDocument/2006/relationships/hyperlink" Id="rId130" Target="https://doi.org/10.1111/j.1365-2648.2005.03621.x" TargetMode="External" /><Relationship Type="http://schemas.openxmlformats.org/officeDocument/2006/relationships/hyperlink" Id="rId122" Target="https://doi.org/10.1186/2046-4053-4-6" TargetMode="External" /><Relationship Type="http://schemas.openxmlformats.org/officeDocument/2006/relationships/hyperlink" Id="rId71" Target="https://doi.org/10.18607/ES201532557" TargetMode="External" /><Relationship Type="http://schemas.openxmlformats.org/officeDocument/2006/relationships/hyperlink" Id="rId74" Target="https://doi.org/10.18820/24150487/as24i2.4" TargetMode="External" /><Relationship Type="http://schemas.openxmlformats.org/officeDocument/2006/relationships/hyperlink" Id="rId102" Target="https://doi.org/10.18830/issn.1679-0944.n34.2023.08" TargetMode="External" /><Relationship Type="http://schemas.openxmlformats.org/officeDocument/2006/relationships/hyperlink" Id="rId69" Target="https://doi.org/10.21315/jcdc.2025.30.2.6" TargetMode="External" /><Relationship Type="http://schemas.openxmlformats.org/officeDocument/2006/relationships/hyperlink" Id="rId116" Target="https://doi.org/10.2478/otmcj-2023-0005" TargetMode="External" /><Relationship Type="http://schemas.openxmlformats.org/officeDocument/2006/relationships/hyperlink" Id="rId96" Target="https://doi.org/10.3130/jaabe.17.307" TargetMode="External" /><Relationship Type="http://schemas.openxmlformats.org/officeDocument/2006/relationships/hyperlink" Id="rId118" Target="https://doi.org/10.3390/su11247181" TargetMode="External" /><Relationship Type="http://schemas.openxmlformats.org/officeDocument/2006/relationships/hyperlink" Id="rId114" Target="https://doi.org/10.3390/su14031705" TargetMode="External" /><Relationship Type="http://schemas.openxmlformats.org/officeDocument/2006/relationships/hyperlink" Id="rId67" Target="https://doi.org/10.3390/su14169955" TargetMode="External" /><Relationship Type="http://schemas.openxmlformats.org/officeDocument/2006/relationships/hyperlink" Id="rId112" Target="https://doi.org/10.3390/su15043174" TargetMode="External" /><Relationship Type="http://schemas.openxmlformats.org/officeDocument/2006/relationships/hyperlink" Id="rId82" Target="https://doi.org/10.36680/j.itcon.2021.005" TargetMode="External" /><Relationship Type="http://schemas.openxmlformats.org/officeDocument/2006/relationships/hyperlink" Id="rId92" Target="https://doi.org/10.3758/s13428-026-02961-x" TargetMode="External" /><Relationship Type="http://schemas.openxmlformats.org/officeDocument/2006/relationships/hyperlink" Id="rId98" Target="https://doi.org/10.47179/abcustos.v19i1.719" TargetMode="External" /><Relationship Type="http://schemas.openxmlformats.org/officeDocument/2006/relationships/hyperlink" Id="rId108" Target="https://doi.org/10.56065/pdpyke84" TargetMode="External" /><Relationship Type="http://schemas.openxmlformats.org/officeDocument/2006/relationships/hyperlink" Id="rId80" Target="https://www.crossref.org/documentation/retrieve-metadata/rest-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2026-07-12T17:59:06Z</dcterms:created>
  <dcterms:modified xsi:type="dcterms:W3CDTF">2026-07-12T17:59:06Z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