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7.pdf" ContentType="application/pdf"/>
  <Override PartName="/word/media/rId30.pdf" ContentType="application/pdf"/>
  <Override PartName="/word/media/rId33.pdf" ContentType="application/pdf"/>
  <Override PartName="/word/media/rId36.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Como a busca original capturou inteligência artificial e aprendizado de máquina apenas incidentalmente, uma busca complementar de sensibilidade dedicada a esse tema foi conduzida nas mesmas três bases; após deduplicação e auditoria com os mesmos critérios de elegibilidade, o núcleo temático foi ampliado para 121 registros. O campo transita de um vocabulário centrado em eficiência, desempenho e edificações verdes para outro associado a BIM,</w:t>
      </w:r>
      <w:r>
        <w:t xml:space="preserve"> </w:t>
      </w:r>
      <w:r>
        <w:rPr>
          <w:iCs/>
          <w:i/>
        </w:rPr>
        <w:t xml:space="preserve">digital twins</w:t>
      </w:r>
      <w:r>
        <w:t xml:space="preserve">, carbono, ciclo de vida, manutenção preditiva e, de forma ainda emergente, aprendizado de máquina.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 presença documental de inteligência artificial não constitui evidência de maturidade institucional de adoção.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Because the original search captured artificial intelligence and machine learning only incidentally, a complementary sensitivity search dedicated to that theme was conducted in the same three databases; after deduplication and auditing under the same eligibility criteria, the thematic core was expanded to 121 records. The field is shifting from a vocabulary centered on efficiency, performance, and green buildings toward BIM, digital twins, carbon, life cycle, predictive maintenance, and, still emergent, machine learning. Technical-operational, institutional, and environmental dimensions were prominent in the thematic core, as were operational performance, information, cost, service life, and energy. Formally named multi-criteria methods were less frequent than generic decision-support frameworks; documentary presence of artificial intelligence does not constitute evidence of institutional adoption maturity.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e manutenção preditiva.</w:t>
            </w:r>
          </w:p>
        </w:tc>
        <w:tc>
          <w:tcPr>
            <w:tcW w:type="dxa" w:w="2340"/>
          </w:tcPr>
          <w:p>
            <w:r>
              <w:rPr>
                <w:sz w:val="18"/>
              </w:rPr>
              <w:t>Rastreabilidade, integração de dados e atualização progressiva dos indicadores.</w:t>
            </w:r>
          </w:p>
        </w:tc>
        <w:tc>
          <w:tcPr>
            <w:tcW w:type="dxa" w:w="2340"/>
          </w:tcPr>
          <w:p>
            <w:r>
              <w:rPr>
                <w:sz w:val="18"/>
              </w:rPr>
              <w:t>Maturidade digital e interoperabilidade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1"/>
    <w:bookmarkStart w:id="26"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[tab:criteriospriorizacao].</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[tab:contexto].</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bl>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Base</w:t>
            </w:r>
          </w:p>
        </w:tc>
        <w:tc>
          <w:tcPr>
            <w:tcW w:type="dxa" w:w="1560"/>
          </w:tcPr>
          <w:p>
            <w:r>
              <w:rPr>
                <w:b/>
                <w:sz w:val="18"/>
              </w:rPr>
              <w:t>Data documentada</w:t>
            </w:r>
          </w:p>
        </w:tc>
        <w:tc>
          <w:tcPr>
            <w:tcW w:type="dxa" w:w="1560"/>
          </w:tcPr>
          <w:p>
            <w:r>
              <w:rPr>
                <w:b/>
                <w:sz w:val="18"/>
              </w:rPr>
              <w:t>Período</w:t>
            </w:r>
          </w:p>
        </w:tc>
        <w:tc>
          <w:tcPr>
            <w:tcW w:type="dxa" w:w="1560"/>
          </w:tcPr>
          <w:p>
            <w:r>
              <w:rPr>
                <w:b/>
                <w:sz w:val="18"/>
              </w:rPr>
              <w:t>Campo ou modelo</w:t>
            </w:r>
          </w:p>
        </w:tc>
        <w:tc>
          <w:tcPr>
            <w:tcW w:type="dxa" w:w="1560"/>
          </w:tcPr>
          <w:p>
            <w:r>
              <w:rPr>
                <w:b/>
                <w:sz w:val="18"/>
              </w:rPr>
              <w:t>Registros</w:t>
            </w:r>
          </w:p>
        </w:tc>
        <w:tc>
          <w:tcPr>
            <w:tcW w:type="dxa" w:w="1560"/>
          </w:tcPr>
          <w:p>
            <w:r>
              <w:rPr>
                <w:b/>
                <w:sz w:val="18"/>
              </w:rPr>
              <w:t>Limites e função</w:t>
            </w:r>
          </w:p>
        </w:tc>
      </w:tr>
      <w:tr>
        <w:tc>
          <w:tcPr>
            <w:tcW w:type="dxa" w:w="1560"/>
          </w:tcPr>
          <w:p>
            <w:r>
              <w:rPr>
                <w:sz w:val="18"/>
              </w:rPr>
              <w:t>Scopus</w:t>
            </w:r>
          </w:p>
        </w:tc>
        <w:tc>
          <w:tcPr>
            <w:tcW w:type="dxa" w:w="1560"/>
          </w:tcPr>
          <w:p>
            <w:r>
              <w:rPr>
                <w:sz w:val="18"/>
              </w:rPr>
              <w:t>08/07/2026; enriquecimento em 09/07/2026</w:t>
            </w:r>
          </w:p>
        </w:tc>
        <w:tc>
          <w:tcPr>
            <w:tcW w:type="dxa" w:w="1560"/>
          </w:tcPr>
          <w:p>
            <w:r>
              <w:rPr>
                <w:sz w:val="18"/>
              </w:rPr>
              <w:t>2010–2026</w:t>
            </w:r>
          </w:p>
        </w:tc>
        <w:tc>
          <w:tcPr>
            <w:tcW w:type="dxa" w:w="1560"/>
          </w:tcPr>
          <w:p>
            <w:r>
              <w:rPr>
                <w:sz w:val="18"/>
              </w:rPr>
              <w:t>4 consultas em TITLE-ABS-KEY</w:t>
            </w:r>
          </w:p>
        </w:tc>
        <w:tc>
          <w:tcPr>
            <w:tcW w:type="dxa" w:w="1560"/>
          </w:tcPr>
          <w:p>
            <w:r>
              <w:rPr>
                <w:sz w:val="18"/>
              </w:rPr>
              <w:t>9.438</w:t>
            </w:r>
          </w:p>
        </w:tc>
        <w:tc>
          <w:tcPr>
            <w:tcW w:type="dxa" w:w="1560"/>
          </w:tcPr>
          <w:p>
            <w:r>
              <w:rPr>
                <w:sz w:val="18"/>
              </w:rPr>
              <w:t>Base principal; 9.433 da API e cinco exclusivos do export manual.</w:t>
            </w:r>
          </w:p>
        </w:tc>
      </w:tr>
      <w:tr>
        <w:tc>
          <w:tcPr>
            <w:tcW w:type="dxa" w:w="1560"/>
          </w:tcPr>
          <w:p>
            <w:r>
              <w:rPr>
                <w:sz w:val="18"/>
              </w:rPr>
              <w:t>Web of Science</w:t>
            </w:r>
          </w:p>
        </w:tc>
        <w:tc>
          <w:tcPr>
            <w:tcW w:type="dxa" w:w="1560"/>
          </w:tcPr>
          <w:p>
            <w:r>
              <w:rPr>
                <w:sz w:val="18"/>
              </w:rPr>
              <w:t>08/07/2026</w:t>
            </w:r>
          </w:p>
        </w:tc>
        <w:tc>
          <w:tcPr>
            <w:tcW w:type="dxa" w:w="1560"/>
          </w:tcPr>
          <w:p>
            <w:r>
              <w:rPr>
                <w:sz w:val="18"/>
              </w:rPr>
              <w:t>2010–2026</w:t>
            </w:r>
          </w:p>
        </w:tc>
        <w:tc>
          <w:tcPr>
            <w:tcW w:type="dxa" w:w="1560"/>
          </w:tcPr>
          <w:p>
            <w:r>
              <w:rPr>
                <w:sz w:val="18"/>
              </w:rPr>
              <w:t>4 buscas manuais em TS (Topic)</w:t>
            </w:r>
          </w:p>
        </w:tc>
        <w:tc>
          <w:tcPr>
            <w:tcW w:type="dxa" w:w="1560"/>
          </w:tcPr>
          <w:p>
            <w:r>
              <w:rPr>
                <w:sz w:val="18"/>
              </w:rPr>
              <w:t>1.680</w:t>
            </w:r>
          </w:p>
        </w:tc>
        <w:tc>
          <w:tcPr>
            <w:tcW w:type="dxa" w:w="1560"/>
          </w:tcPr>
          <w:p>
            <w:r>
              <w:rPr>
                <w:sz w:val="18"/>
              </w:rPr>
              <w:t>Base independente; A4 recontado em 503; associação A1–A4 aos RIS informada de memória.</w:t>
            </w:r>
          </w:p>
        </w:tc>
      </w:tr>
      <w:tr>
        <w:tc>
          <w:tcPr>
            <w:tcW w:type="dxa" w:w="1560"/>
          </w:tcPr>
          <w:p>
            <w:r>
              <w:rPr>
                <w:sz w:val="18"/>
              </w:rPr>
              <w:t>Crossref</w:t>
            </w:r>
          </w:p>
        </w:tc>
        <w:tc>
          <w:tcPr>
            <w:tcW w:type="dxa" w:w="1560"/>
          </w:tcPr>
          <w:p>
            <w:r>
              <w:rPr>
                <w:sz w:val="18"/>
              </w:rPr>
              <w:t>08/07/2026</w:t>
            </w:r>
          </w:p>
        </w:tc>
        <w:tc>
          <w:tcPr>
            <w:tcW w:type="dxa" w:w="1560"/>
          </w:tcPr>
          <w:p>
            <w:r>
              <w:rPr>
                <w:sz w:val="18"/>
              </w:rPr>
              <w:t>2010–2026</w:t>
            </w:r>
          </w:p>
        </w:tc>
        <w:tc>
          <w:tcPr>
            <w:tcW w:type="dxa" w:w="1560"/>
          </w:tcPr>
          <w:p>
            <w:r>
              <w:rPr>
                <w:sz w:val="18"/>
              </w:rPr>
              <w:t>5 consultas em query.bibliographic</w:t>
            </w:r>
          </w:p>
        </w:tc>
        <w:tc>
          <w:tcPr>
            <w:tcW w:type="dxa" w:w="1560"/>
          </w:tcPr>
          <w:p>
            <w:r>
              <w:rPr>
                <w:sz w:val="18"/>
              </w:rPr>
              <w:t>1.000</w:t>
            </w:r>
          </w:p>
        </w:tc>
        <w:tc>
          <w:tcPr>
            <w:tcW w:type="dxa" w:w="1560"/>
          </w:tcPr>
          <w:p>
            <w:r>
              <w:rPr>
                <w:sz w:val="18"/>
              </w:rPr>
              <w:t>Fonte complementar; 200 resultados por consulta, ordenados por relevância.</w:t>
            </w:r>
          </w:p>
        </w:tc>
      </w:tr>
      <w:tr>
        <w:tc>
          <w:tcPr>
            <w:tcW w:type="dxa" w:w="1560"/>
          </w:tcPr>
          <w:p>
            <w:r>
              <w:rPr>
                <w:sz w:val="18"/>
              </w:rPr>
              <w:t>Total</w:t>
            </w:r>
          </w:p>
        </w:tc>
        <w:tc>
          <w:tcPr>
            <w:tcW w:type="dxa" w:w="1560"/>
          </w:tcPr>
          <w:p>
            <w:r>
              <w:rPr>
                <w:sz w:val="18"/>
              </w:rPr>
              <w:t>&amp;</w:t>
            </w:r>
          </w:p>
        </w:tc>
        <w:tc>
          <w:tcPr>
            <w:tcW w:type="dxa" w:w="1560"/>
          </w:tcPr>
          <w:p>
            <w:r>
              <w:rPr>
                <w:sz w:val="18"/>
              </w:rPr>
              <w:t>13 consultas</w:t>
            </w:r>
          </w:p>
        </w:tc>
        <w:tc>
          <w:tcPr>
            <w:tcW w:type="dxa" w:w="1560"/>
          </w:tcPr>
          <w:p>
            <w:r>
              <w:rPr>
                <w:sz w:val="18"/>
              </w:rPr>
              <w:t>12.118</w:t>
            </w:r>
          </w:p>
        </w:tc>
        <w:tc>
          <w:tcPr>
            <w:tcW w:type="dxa" w:w="1560"/>
          </w:tcPr>
          <w:p>
            <w:r>
              <w:rPr>
                <w:sz w:val="18"/>
              </w:rPr>
              <w:t>Volume anterior à deduplicação.</w:t>
            </w:r>
          </w:p>
        </w:tc>
        <w:tc>
          <w:tcPr>
            <w:tcW w:type="dxa" w:w="1560"/>
          </w:tcPr>
          <w:p>
            <w:r>
              <w:rPr>
                <w:sz w:val="18"/>
              </w:rPr>
            </w:r>
          </w:p>
        </w:tc>
      </w:tr>
    </w:tbl>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4"/>
    <w:bookmarkStart w:id="25" w:name="sec:buscaia"/>
    <w:p>
      <w:pPr>
        <w:pStyle w:val="Heading2"/>
      </w:pPr>
      <w:r>
        <w:t xml:space="preserve">Busca complementar de sensibilidade para inteligência artificial e aprendizado de máquina</w:t>
      </w:r>
    </w:p>
    <w:p>
      <w:pPr>
        <w:pStyle w:val="FirstParagraph"/>
      </w:pPr>
      <w:r>
        <w:t xml:space="preserve">As quatro expressões booleanas do núcleo original (Tabela </w:t>
      </w:r>
      <w:hyperlink w:anchor="tab:estrategiabusca">
        <w:r>
          <w:rPr>
            <w:rStyle w:val="Hyperlink"/>
          </w:rPr>
          <w:t xml:space="preserve">[tab:estrategiabusca]</w:t>
        </w:r>
      </w:hyperlink>
      <w:r>
        <w:t xml:space="preserve">) recuperaram inteligência artificial (IA) e aprendizado de máquina apenas de forma incidental: nenhuma pergunta de pesquisa das seis originais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pPr>
      <w:r>
        <w:t xml:space="preserve">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pPr>
      <w:r>
        <w:t xml:space="preserve">Uma nova pergunta de pesquisa (RQ6), dedicada a IA e aprendizado de máquina, foi formalizada em codebook próprio, com dois níveis de termos: um conjunto que confirma isoladamente uma técnica computacional (por exemplo,</w:t>
      </w:r>
      <w:r>
        <w:t xml:space="preserve"> </w:t>
      </w:r>
      <w:r>
        <w:rPr>
          <w:iCs/>
          <w:i/>
        </w:rPr>
        <w:t xml:space="preserve">machine learning</w:t>
      </w:r>
      <w:r>
        <w:t xml:space="preserve">,</w:t>
      </w:r>
      <w:r>
        <w:t xml:space="preserve"> </w:t>
      </w:r>
      <w:r>
        <w:rPr>
          <w:iCs/>
          <w:i/>
        </w:rPr>
        <w:t xml:space="preserve">neural network</w:t>
      </w:r>
      <w:r>
        <w:t xml:space="preserve">,</w:t>
      </w:r>
      <w:r>
        <w:t xml:space="preserve"> </w:t>
      </w:r>
      <w:r>
        <w:rPr>
          <w:iCs/>
          <w:i/>
        </w:rPr>
        <w:t xml:space="preserve">random forest</w:t>
      </w:r>
      <w:r>
        <w:t xml:space="preserve">,</w:t>
      </w:r>
      <w:r>
        <w:t xml:space="preserve"> </w:t>
      </w:r>
      <w:r>
        <w:rPr>
          <w:iCs/>
          <w:i/>
        </w:rPr>
        <w:t xml:space="preserve">large language model</w:t>
      </w:r>
      <w:r>
        <w:t xml:space="preserve">) e outro de termos ambíguos que exigem contexto adicional e nunca confirmam IA isoladamente (por exemplo, manutenção preditiva, BIM,</w:t>
      </w:r>
      <w:r>
        <w:t xml:space="preserve"> </w:t>
      </w:r>
      <w:r>
        <w:rPr>
          <w:iCs/>
          <w:i/>
        </w:rPr>
        <w:t xml:space="preserve">digital twin</w:t>
      </w:r>
      <w:r>
        <w:t xml:space="preserve">, IoT e</w:t>
      </w:r>
      <w:r>
        <w:t xml:space="preserve"> </w:t>
      </w:r>
      <w:r>
        <w:rPr>
          <w:iCs/>
          <w:i/>
        </w:rPr>
        <w:t xml:space="preserve">decision tree</w:t>
      </w:r>
      <w:r>
        <w:t xml:space="preserve"> </w:t>
      </w:r>
      <w:r>
        <w:t xml:space="preserve">fora de contexto de algoritmo treinado). Essa distinção evita tratar manutenção preditiva, BIM ou</w:t>
      </w:r>
      <w:r>
        <w:t xml:space="preserve"> </w:t>
      </w:r>
      <w:r>
        <w:rPr>
          <w:iCs/>
          <w:i/>
        </w:rPr>
        <w:t xml:space="preserve">digital twin</w:t>
      </w:r>
      <w:r>
        <w:t xml:space="preserve"> </w:t>
      </w:r>
      <w:r>
        <w:t xml:space="preserve">como sinônimos de IA, prática observada como risco metodológico na literatura correlata. Os 4.889 registros foram classificados, sem amostragem, em seis classes de evidência de IA/aprendizado de máquina; os registros sem resumo disponível na fonte (concentrados no Crossref) receberam nível de confiança rebaixado por definição.</w:t>
      </w:r>
    </w:p>
    <w:p>
      <w:pPr>
        <w:pStyle w:val="BodyText"/>
      </w:pPr>
      <w:r>
        <w:t xml:space="preserve">Os registros com aplicação de IA/aprendizado de máquina confirmada foram submetidos ao mesmo critério de elegibilidade do núcleo original (objeto predial e sustentabilidade obrigatórios). Revisão individual de título e resumo removeu, em seguida, oito candidatos cuja aplicação, apesar de tecnicamente confirmada, ocorria em domínio industrial, aeroespacial ou veicular sem relação com edificações. Sete registros já pertencentes ao núcleo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p>
    <w:bookmarkEnd w:id="25"/>
    <w:bookmarkEnd w:id="26"/>
    <w:bookmarkStart w:id="39"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121 registros (104 do corpus original e 17 incorporados pela busca complementar de sensibilidade para inteligência artificial e aprendizado de máquina, Seção </w:t>
      </w:r>
      <w:hyperlink w:anchor="sec:buscaia">
        <w:r>
          <w:rPr>
            <w:rStyle w:val="Hyperlink"/>
          </w:rPr>
          <w:t xml:space="preserve">3.4</w:t>
        </w:r>
      </w:hyperlink>
      <w:r>
        <w:t xml:space="preserve">)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8" name="Picture"/>
            <a:graphic>
              <a:graphicData uri="http://schemas.openxmlformats.org/drawingml/2006/picture">
                <pic:pic>
                  <pic:nvPicPr>
                    <pic:cNvPr descr="figuras/figura_fontes_relevantes_372.pdf" id="29" name="Picture"/>
                    <pic:cNvPicPr>
                      <a:picLocks noChangeArrowheads="1" noChangeAspect="1"/>
                    </pic:cNvPicPr>
                  </pic:nvPicPr>
                  <pic:blipFill>
                    <a:blip r:embed="rId27"/>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1" name="Picture"/>
            <a:graphic>
              <a:graphicData uri="http://schemas.openxmlformats.org/drawingml/2006/picture">
                <pic:pic>
                  <pic:nvPicPr>
                    <pic:cNvPr descr="figuras/figura_mapa_tematico_372.pdf" id="32" name="Picture"/>
                    <pic:cNvPicPr>
                      <a:picLocks noChangeArrowheads="1" noChangeAspect="1"/>
                    </pic:cNvPicPr>
                  </pic:nvPicPr>
                  <pic:blipFill>
                    <a:blip r:embed="rId30"/>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4" name="Picture"/>
            <a:graphic>
              <a:graphicData uri="http://schemas.openxmlformats.org/drawingml/2006/picture">
                <pic:pic>
                  <pic:nvPicPr>
                    <pic:cNvPr descr="figuras/figura_rede_coocorrencia_372.pdf" id="35" name="Picture"/>
                    <pic:cNvPicPr>
                      <a:picLocks noChangeArrowheads="1" noChangeAspect="1"/>
                    </pic:cNvPicPr>
                  </pic:nvPicPr>
                  <pic:blipFill>
                    <a:blip r:embed="rId33"/>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7" name="Picture"/>
            <a:graphic>
              <a:graphicData uri="http://schemas.openxmlformats.org/drawingml/2006/picture">
                <pic:pic>
                  <pic:nvPicPr>
                    <pic:cNvPr descr="figuras/figura_evolucao_tematica_372.pdf" id="38" name="Picture"/>
                    <pic:cNvPicPr>
                      <a:picLocks noChangeArrowheads="1" noChangeAspect="1"/>
                    </pic:cNvPicPr>
                  </pic:nvPicPr>
                  <pic:blipFill>
                    <a:blip r:embed="rId36"/>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9"/>
    <w:bookmarkStart w:id="43" w:name="sec:panorama"/>
    <w:p>
      <w:pPr>
        <w:pStyle w:val="Heading1"/>
      </w:pPr>
      <w:r>
        <w:t xml:space="preserve">Panorama bibliométrico e corpus da revisão</w:t>
      </w:r>
    </w:p>
    <w:p>
      <w:pPr>
        <w:pStyle w:val="FirstParagraph"/>
      </w:pPr>
      <w:r>
        <w:t xml:space="preserve">O núcleo final reúne 121 registros publicados entre 2010 e 2026, sendo 104 do corpus original e 17 incorporados pela busca complementar de sensibilidade para inteligência artificial e aprendizado de máquina (Seção </w:t>
      </w:r>
      <w:hyperlink w:anchor="sec:buscaia">
        <w:r>
          <w:rPr>
            <w:rStyle w:val="Hyperlink"/>
          </w:rPr>
          <w:t xml:space="preserve">3.4</w:t>
        </w:r>
      </w:hyperlink>
      <w:r>
        <w:t xml:space="preserve">). O período de 2019 a 2026 concentra 101 registros, correspondentes a 83,5% do núcleo, com maior frequência em 2025, quando foram identificados 29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1" name="Picture"/>
            <a:graphic>
              <a:graphicData uri="http://schemas.openxmlformats.org/drawingml/2006/picture">
                <pic:pic>
                  <pic:nvPicPr>
                    <pic:cNvPr descr="figuras/figura09_distribuicao_temporal_nucleo_ampliado_121.png" id="42" name="Picture"/>
                    <pic:cNvPicPr>
                      <a:picLocks noChangeArrowheads="1" noChangeAspect="1"/>
                    </pic:cNvPicPr>
                  </pic:nvPicPr>
                  <pic:blipFill>
                    <a:blip r:embed="rId4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121</w:t>
            </w:r>
          </w:p>
        </w:tc>
        <w:tc>
          <w:tcPr>
            <w:tcW w:type="dxa" w:w="2340"/>
          </w:tcPr>
          <w:p>
            <w:r>
              <w:rPr>
                <w:b/>
                <w:sz w:val="18"/>
              </w:rPr>
              <w:t>Observação</w:t>
            </w:r>
          </w:p>
        </w:tc>
      </w:tr>
      <w:tr>
        <w:tc>
          <w:tcPr>
            <w:tcW w:type="dxa" w:w="2340"/>
          </w:tcPr>
          <w:p>
            <w:r>
              <w:rPr>
                <w:sz w:val="18"/>
              </w:rPr>
              <w:t>Scopus</w:t>
            </w:r>
          </w:p>
        </w:tc>
        <w:tc>
          <w:tcPr>
            <w:tcW w:type="dxa" w:w="2340"/>
          </w:tcPr>
          <w:p>
            <w:r>
              <w:rPr>
                <w:sz w:val="18"/>
              </w:rPr>
              <w:t>113</w:t>
            </w:r>
          </w:p>
        </w:tc>
        <w:tc>
          <w:tcPr>
            <w:tcW w:type="dxa" w:w="2340"/>
          </w:tcPr>
          <w:p>
            <w:r>
              <w:rPr>
                <w:sz w:val="18"/>
              </w:rPr>
              <w:t>93,4</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51</w:t>
            </w:r>
          </w:p>
        </w:tc>
        <w:tc>
          <w:tcPr>
            <w:tcW w:type="dxa" w:w="2340"/>
          </w:tcPr>
          <w:p>
            <w:r>
              <w:rPr>
                <w:sz w:val="18"/>
              </w:rPr>
              <w:t>42,1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5,0</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90</w:t>
            </w:r>
          </w:p>
        </w:tc>
        <w:tc>
          <w:tcPr>
            <w:tcW w:type="dxa" w:w="2340"/>
          </w:tcPr>
          <w:p>
            <w:r>
              <w:rPr>
                <w:sz w:val="18"/>
              </w:rPr>
              <w:t>74,4</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20</w:t>
            </w:r>
          </w:p>
        </w:tc>
        <w:tc>
          <w:tcPr>
            <w:tcW w:type="dxa" w:w="2340"/>
          </w:tcPr>
          <w:p>
            <w:r>
              <w:rPr>
                <w:sz w:val="18"/>
              </w:rPr>
              <w:t>16,5</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11</w:t>
            </w:r>
          </w:p>
        </w:tc>
        <w:tc>
          <w:tcPr>
            <w:tcW w:type="dxa" w:w="2340"/>
          </w:tcPr>
          <w:p>
            <w:r>
              <w:rPr>
                <w:sz w:val="18"/>
              </w:rPr>
              <w:t>9,1</w:t>
            </w:r>
          </w:p>
        </w:tc>
        <w:tc>
          <w:tcPr>
            <w:tcW w:type="dxa" w:w="2340"/>
          </w:tcPr>
          <w:p>
            <w:r>
              <w:rPr>
                <w:sz w:val="18"/>
              </w:rPr>
              <w:t>Book Series e Book.</w:t>
            </w:r>
          </w:p>
        </w:tc>
      </w:tr>
    </w:tbl>
    <w:p/>
    <w:bookmarkEnd w:id="43"/>
    <w:bookmarkStart w:id="47"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116 registros, institucional em 97, ambiental em 92, ciclo de vida em 65, econômica em 63 e social em 59.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5" name="Picture"/>
            <a:graphic>
              <a:graphicData uri="http://schemas.openxmlformats.org/drawingml/2006/picture">
                <pic:pic>
                  <pic:nvPicPr>
                    <pic:cNvPr descr="figuras/figura12_dimensoes_sustentabilidade_nucleo_ampliado_121.png" id="46" name="Picture"/>
                    <pic:cNvPicPr>
                      <a:picLocks noChangeArrowheads="1" noChangeAspect="1"/>
                    </pic:cNvPicPr>
                  </pic:nvPicPr>
                  <pic:blipFill>
                    <a:blip r:embed="rId44"/>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121</w:t>
            </w:r>
          </w:p>
        </w:tc>
      </w:tr>
      <w:tr>
        <w:tc>
          <w:tcPr>
            <w:tcW w:type="dxa" w:w="3120"/>
          </w:tcPr>
          <w:p>
            <w:r>
              <w:rPr>
                <w:sz w:val="18"/>
              </w:rPr>
              <w:t>Desempenho operacional</w:t>
            </w:r>
          </w:p>
        </w:tc>
        <w:tc>
          <w:tcPr>
            <w:tcW w:type="dxa" w:w="3120"/>
          </w:tcPr>
          <w:p>
            <w:r>
              <w:rPr>
                <w:sz w:val="18"/>
              </w:rPr>
              <w:t>99</w:t>
            </w:r>
          </w:p>
        </w:tc>
        <w:tc>
          <w:tcPr>
            <w:tcW w:type="dxa" w:w="3120"/>
          </w:tcPr>
          <w:p>
            <w:r>
              <w:rPr>
                <w:sz w:val="18"/>
              </w:rPr>
              <w:t>81,8</w:t>
            </w:r>
          </w:p>
        </w:tc>
      </w:tr>
      <w:tr>
        <w:tc>
          <w:tcPr>
            <w:tcW w:type="dxa" w:w="3120"/>
          </w:tcPr>
          <w:p>
            <w:r>
              <w:rPr>
                <w:sz w:val="18"/>
              </w:rPr>
              <w:t>Informação e dados</w:t>
            </w:r>
          </w:p>
        </w:tc>
        <w:tc>
          <w:tcPr>
            <w:tcW w:type="dxa" w:w="3120"/>
          </w:tcPr>
          <w:p>
            <w:r>
              <w:rPr>
                <w:sz w:val="18"/>
              </w:rPr>
              <w:t>82</w:t>
            </w:r>
          </w:p>
        </w:tc>
        <w:tc>
          <w:tcPr>
            <w:tcW w:type="dxa" w:w="3120"/>
          </w:tcPr>
          <w:p>
            <w:r>
              <w:rPr>
                <w:sz w:val="18"/>
              </w:rPr>
              <w:t>67,8</w:t>
            </w:r>
          </w:p>
        </w:tc>
      </w:tr>
      <w:tr>
        <w:tc>
          <w:tcPr>
            <w:tcW w:type="dxa" w:w="3120"/>
          </w:tcPr>
          <w:p>
            <w:r>
              <w:rPr>
                <w:sz w:val="18"/>
              </w:rPr>
              <w:t>Custo</w:t>
            </w:r>
          </w:p>
        </w:tc>
        <w:tc>
          <w:tcPr>
            <w:tcW w:type="dxa" w:w="3120"/>
          </w:tcPr>
          <w:p>
            <w:r>
              <w:rPr>
                <w:sz w:val="18"/>
              </w:rPr>
              <w:t>63</w:t>
            </w:r>
          </w:p>
        </w:tc>
        <w:tc>
          <w:tcPr>
            <w:tcW w:type="dxa" w:w="3120"/>
          </w:tcPr>
          <w:p>
            <w:r>
              <w:rPr>
                <w:sz w:val="18"/>
              </w:rPr>
              <w:t>52,1</w:t>
            </w:r>
          </w:p>
        </w:tc>
      </w:tr>
      <w:tr>
        <w:tc>
          <w:tcPr>
            <w:tcW w:type="dxa" w:w="3120"/>
          </w:tcPr>
          <w:p>
            <w:r>
              <w:rPr>
                <w:sz w:val="18"/>
              </w:rPr>
              <w:t>Energia</w:t>
            </w:r>
          </w:p>
        </w:tc>
        <w:tc>
          <w:tcPr>
            <w:tcW w:type="dxa" w:w="3120"/>
          </w:tcPr>
          <w:p>
            <w:r>
              <w:rPr>
                <w:sz w:val="18"/>
              </w:rPr>
              <w:t>44</w:t>
            </w:r>
          </w:p>
        </w:tc>
        <w:tc>
          <w:tcPr>
            <w:tcW w:type="dxa" w:w="3120"/>
          </w:tcPr>
          <w:p>
            <w:r>
              <w:rPr>
                <w:sz w:val="18"/>
              </w:rPr>
              <w:t>36,4</w:t>
            </w:r>
          </w:p>
        </w:tc>
      </w:tr>
      <w:tr>
        <w:tc>
          <w:tcPr>
            <w:tcW w:type="dxa" w:w="3120"/>
          </w:tcPr>
          <w:p>
            <w:r>
              <w:rPr>
                <w:sz w:val="18"/>
              </w:rPr>
              <w:t>Vida útil</w:t>
            </w:r>
          </w:p>
        </w:tc>
        <w:tc>
          <w:tcPr>
            <w:tcW w:type="dxa" w:w="3120"/>
          </w:tcPr>
          <w:p>
            <w:r>
              <w:rPr>
                <w:sz w:val="18"/>
              </w:rPr>
              <w:t>44</w:t>
            </w:r>
          </w:p>
        </w:tc>
        <w:tc>
          <w:tcPr>
            <w:tcW w:type="dxa" w:w="3120"/>
          </w:tcPr>
          <w:p>
            <w:r>
              <w:rPr>
                <w:sz w:val="18"/>
              </w:rPr>
              <w:t>36,4</w:t>
            </w:r>
          </w:p>
        </w:tc>
      </w:tr>
      <w:tr>
        <w:tc>
          <w:tcPr>
            <w:tcW w:type="dxa" w:w="3120"/>
          </w:tcPr>
          <w:p>
            <w:r>
              <w:rPr>
                <w:sz w:val="18"/>
              </w:rPr>
              <w:t>Condição física</w:t>
            </w:r>
          </w:p>
        </w:tc>
        <w:tc>
          <w:tcPr>
            <w:tcW w:type="dxa" w:w="3120"/>
          </w:tcPr>
          <w:p>
            <w:r>
              <w:rPr>
                <w:sz w:val="18"/>
              </w:rPr>
              <w:t>34</w:t>
            </w:r>
          </w:p>
        </w:tc>
        <w:tc>
          <w:tcPr>
            <w:tcW w:type="dxa" w:w="3120"/>
          </w:tcPr>
          <w:p>
            <w:r>
              <w:rPr>
                <w:sz w:val="18"/>
              </w:rPr>
              <w:t>28,1</w:t>
            </w:r>
          </w:p>
        </w:tc>
      </w:tr>
      <w:tr>
        <w:tc>
          <w:tcPr>
            <w:tcW w:type="dxa" w:w="3120"/>
          </w:tcPr>
          <w:p>
            <w:r>
              <w:rPr>
                <w:sz w:val="18"/>
              </w:rPr>
              <w:t>Risco</w:t>
            </w:r>
          </w:p>
        </w:tc>
        <w:tc>
          <w:tcPr>
            <w:tcW w:type="dxa" w:w="3120"/>
          </w:tcPr>
          <w:p>
            <w:r>
              <w:rPr>
                <w:sz w:val="18"/>
              </w:rPr>
              <w:t>33</w:t>
            </w:r>
          </w:p>
        </w:tc>
        <w:tc>
          <w:tcPr>
            <w:tcW w:type="dxa" w:w="3120"/>
          </w:tcPr>
          <w:p>
            <w:r>
              <w:rPr>
                <w:sz w:val="18"/>
              </w:rPr>
              <w:t>27,3</w:t>
            </w:r>
          </w:p>
        </w:tc>
      </w:tr>
      <w:tr>
        <w:tc>
          <w:tcPr>
            <w:tcW w:type="dxa" w:w="3120"/>
          </w:tcPr>
          <w:p>
            <w:r>
              <w:rPr>
                <w:sz w:val="18"/>
              </w:rPr>
              <w:t>Manutenibilidade</w:t>
            </w:r>
          </w:p>
        </w:tc>
        <w:tc>
          <w:tcPr>
            <w:tcW w:type="dxa" w:w="3120"/>
          </w:tcPr>
          <w:p>
            <w:r>
              <w:rPr>
                <w:sz w:val="18"/>
              </w:rPr>
              <w:t>25</w:t>
            </w:r>
          </w:p>
        </w:tc>
        <w:tc>
          <w:tcPr>
            <w:tcW w:type="dxa" w:w="3120"/>
          </w:tcPr>
          <w:p>
            <w:r>
              <w:rPr>
                <w:sz w:val="18"/>
              </w:rPr>
              <w:t>20,7</w:t>
            </w:r>
          </w:p>
        </w:tc>
      </w:tr>
      <w:tr>
        <w:tc>
          <w:tcPr>
            <w:tcW w:type="dxa" w:w="3120"/>
          </w:tcPr>
          <w:p>
            <w:r>
              <w:rPr>
                <w:sz w:val="18"/>
              </w:rPr>
              <w:t>Conforto</w:t>
            </w:r>
          </w:p>
        </w:tc>
        <w:tc>
          <w:tcPr>
            <w:tcW w:type="dxa" w:w="3120"/>
          </w:tcPr>
          <w:p>
            <w:r>
              <w:rPr>
                <w:sz w:val="18"/>
              </w:rPr>
              <w:t>22</w:t>
            </w:r>
          </w:p>
        </w:tc>
        <w:tc>
          <w:tcPr>
            <w:tcW w:type="dxa" w:w="3120"/>
          </w:tcPr>
          <w:p>
            <w:r>
              <w:rPr>
                <w:sz w:val="18"/>
              </w:rPr>
              <w:t>18,2</w:t>
            </w:r>
          </w:p>
        </w:tc>
      </w:tr>
      <w:tr>
        <w:tc>
          <w:tcPr>
            <w:tcW w:type="dxa" w:w="3120"/>
          </w:tcPr>
          <w:p>
            <w:r>
              <w:rPr>
                <w:sz w:val="18"/>
              </w:rPr>
              <w:t>Segurança</w:t>
            </w:r>
          </w:p>
        </w:tc>
        <w:tc>
          <w:tcPr>
            <w:tcW w:type="dxa" w:w="3120"/>
          </w:tcPr>
          <w:p>
            <w:r>
              <w:rPr>
                <w:sz w:val="18"/>
              </w:rPr>
              <w:t>18</w:t>
            </w:r>
          </w:p>
        </w:tc>
        <w:tc>
          <w:tcPr>
            <w:tcW w:type="dxa" w:w="3120"/>
          </w:tcPr>
          <w:p>
            <w:r>
              <w:rPr>
                <w:sz w:val="18"/>
              </w:rPr>
              <w:t>14,9</w:t>
            </w:r>
          </w:p>
        </w:tc>
      </w:tr>
      <w:tr>
        <w:tc>
          <w:tcPr>
            <w:tcW w:type="dxa" w:w="3120"/>
          </w:tcPr>
          <w:p>
            <w:r>
              <w:rPr>
                <w:sz w:val="18"/>
              </w:rPr>
              <w:t>Emissões de carbono</w:t>
            </w:r>
          </w:p>
        </w:tc>
        <w:tc>
          <w:tcPr>
            <w:tcW w:type="dxa" w:w="3120"/>
          </w:tcPr>
          <w:p>
            <w:r>
              <w:rPr>
                <w:sz w:val="18"/>
              </w:rPr>
              <w:t>15</w:t>
            </w:r>
          </w:p>
        </w:tc>
        <w:tc>
          <w:tcPr>
            <w:tcW w:type="dxa" w:w="3120"/>
          </w:tcPr>
          <w:p>
            <w:r>
              <w:rPr>
                <w:sz w:val="18"/>
              </w:rPr>
              <w:t>12,4</w:t>
            </w:r>
          </w:p>
        </w:tc>
      </w:tr>
      <w:tr>
        <w:tc>
          <w:tcPr>
            <w:tcW w:type="dxa" w:w="3120"/>
          </w:tcPr>
          <w:p>
            <w:r>
              <w:rPr>
                <w:sz w:val="18"/>
              </w:rPr>
              <w:t>Resíduos</w:t>
            </w:r>
          </w:p>
        </w:tc>
        <w:tc>
          <w:tcPr>
            <w:tcW w:type="dxa" w:w="3120"/>
          </w:tcPr>
          <w:p>
            <w:r>
              <w:rPr>
                <w:sz w:val="18"/>
              </w:rPr>
              <w:t>13</w:t>
            </w:r>
          </w:p>
        </w:tc>
        <w:tc>
          <w:tcPr>
            <w:tcW w:type="dxa" w:w="3120"/>
          </w:tcPr>
          <w:p>
            <w:r>
              <w:rPr>
                <w:sz w:val="18"/>
              </w:rPr>
              <w:t>10,7</w:t>
            </w:r>
          </w:p>
        </w:tc>
      </w:tr>
      <w:tr>
        <w:tc>
          <w:tcPr>
            <w:tcW w:type="dxa" w:w="3120"/>
          </w:tcPr>
          <w:p>
            <w:r>
              <w:rPr>
                <w:sz w:val="18"/>
              </w:rPr>
              <w:t>Satisfação do usuário</w:t>
            </w:r>
          </w:p>
        </w:tc>
        <w:tc>
          <w:tcPr>
            <w:tcW w:type="dxa" w:w="3120"/>
          </w:tcPr>
          <w:p>
            <w:r>
              <w:rPr>
                <w:sz w:val="18"/>
              </w:rPr>
              <w:t>9</w:t>
            </w:r>
          </w:p>
        </w:tc>
        <w:tc>
          <w:tcPr>
            <w:tcW w:type="dxa" w:w="3120"/>
          </w:tcPr>
          <w:p>
            <w:r>
              <w:rPr>
                <w:sz w:val="18"/>
              </w:rPr>
              <w:t>7,4</w:t>
            </w:r>
          </w:p>
        </w:tc>
      </w:tr>
      <w:tr>
        <w:tc>
          <w:tcPr>
            <w:tcW w:type="dxa" w:w="3120"/>
          </w:tcPr>
          <w:p>
            <w:r>
              <w:rPr>
                <w:sz w:val="18"/>
              </w:rPr>
              <w:t>Água</w:t>
            </w:r>
          </w:p>
        </w:tc>
        <w:tc>
          <w:tcPr>
            <w:tcW w:type="dxa" w:w="3120"/>
          </w:tcPr>
          <w:p>
            <w:r>
              <w:rPr>
                <w:sz w:val="18"/>
              </w:rPr>
              <w:t>6</w:t>
            </w:r>
          </w:p>
        </w:tc>
        <w:tc>
          <w:tcPr>
            <w:tcW w:type="dxa" w:w="3120"/>
          </w:tcPr>
          <w:p>
            <w:r>
              <w:rPr>
                <w:sz w:val="18"/>
              </w:rPr>
              <w:t>5,0</w:t>
            </w:r>
          </w:p>
        </w:tc>
      </w:tr>
      <w:tr>
        <w:tc>
          <w:tcPr>
            <w:tcW w:type="dxa" w:w="3120"/>
          </w:tcPr>
          <w:p>
            <w:r>
              <w:rPr>
                <w:sz w:val="18"/>
              </w:rPr>
              <w:t>Qualidade de serviço</w:t>
            </w:r>
          </w:p>
        </w:tc>
        <w:tc>
          <w:tcPr>
            <w:tcW w:type="dxa" w:w="3120"/>
          </w:tcPr>
          <w:p>
            <w:r>
              <w:rPr>
                <w:sz w:val="18"/>
              </w:rPr>
              <w:t>6</w:t>
            </w:r>
          </w:p>
        </w:tc>
        <w:tc>
          <w:tcPr>
            <w:tcW w:type="dxa" w:w="3120"/>
          </w:tcPr>
          <w:p>
            <w:r>
              <w:rPr>
                <w:sz w:val="18"/>
              </w:rPr>
              <w:t>5,0</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7"/>
    <w:bookmarkStart w:id="51" w:name="sec:metodos"/>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101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28 e 29, seguidos de aprendizado de máquina em 26, otimização em 19, pontuação em 17 e custo do ciclo de vida em 16.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9" name="Picture"/>
            <a:graphic>
              <a:graphicData uri="http://schemas.openxmlformats.org/drawingml/2006/picture">
                <pic:pic>
                  <pic:nvPicPr>
                    <pic:cNvPr descr="figuras/figura11_metodos_mcdm_mais_frequentes_nucleo_ampliado_121.png" id="50" name="Picture"/>
                    <pic:cNvPicPr>
                      <a:picLocks noChangeArrowheads="1" noChangeAspect="1"/>
                    </pic:cNvPicPr>
                  </pic:nvPicPr>
                  <pic:blipFill>
                    <a:blip r:embed="rId48"/>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28 registros (23,1%) e</w:t>
      </w:r>
      <w:r>
        <w:t xml:space="preserve"> </w:t>
      </w:r>
      <w:r>
        <w:rPr>
          <w:iCs/>
          <w:i/>
        </w:rPr>
        <w:t xml:space="preserve">digital twin</w:t>
      </w:r>
      <w:r>
        <w:t xml:space="preserve"> </w:t>
      </w:r>
      <w:r>
        <w:t xml:space="preserve">em 11 (9,1%), presença que indica trajetória tecnológica, não maturidade das universidades públicas. Aprendizado de máquina, tema da busca complementar de sensibilidade (Seção </w:t>
      </w:r>
      <w:hyperlink w:anchor="sec:buscaia">
        <w:r>
          <w:rPr>
            <w:rStyle w:val="Hyperlink"/>
          </w:rPr>
          <w:t xml:space="preserve">3.4</w:t>
        </w:r>
      </w:hyperlink>
      <w:r>
        <w:t xml:space="preserve">), salta de nove para 26 registros (21,5%) entre o núcleo original e o núcleo ampliado, crescimento concentrado, por construção, nos 17 estudos incorporados por essa busca, e não em uma tendência observada de forma independente na busca original. Os demais métodos crescem de forma modesta e proporcional ao aumento geral do núcleo, sem evidência de que a busca de sensibilidade tenha inflado artificialmente outras categorias metodológicas. O protocolo deve funcionar com planilhas, cadastros, inspeções e ordens de serviço e permitir integração progressiva a modelos e plataformas digitais, incluindo eventuais módulos preditivos baseados em aprendizado de máquina, cuja presença documental não substitui validação de desempenho em operação real.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1"/>
    <w:bookmarkStart w:id="52" w:name="sec:aplicabilidade"/>
    <w:p>
      <w:pPr>
        <w:pStyle w:val="Heading1"/>
      </w:pPr>
      <w:r>
        <w:t xml:space="preserve">Aplicabilidade a edificações públicas universitárias</w:t>
      </w:r>
    </w:p>
    <w:p>
      <w:pPr>
        <w:pStyle w:val="FirstParagraph"/>
      </w:pPr>
      <w:r>
        <w:t xml:space="preserve">A caracterização documental identificou 101 registros sobre edificação genérica e 59 sobre portfólio predial. Entre as tipologias específicas, houve 17 registros sobre hospitais, 16 sobre edifícios comerciais, 15 residenciais, 14 universidades, dez</w:t>
      </w:r>
      <w:r>
        <w:t xml:space="preserve"> </w:t>
      </w:r>
      <w:r>
        <w:rPr>
          <w:iCs/>
          <w:i/>
        </w:rPr>
        <w:t xml:space="preserve">campus</w:t>
      </w:r>
      <w:r>
        <w:t xml:space="preserve">, seis patrimônios históricos, cinco edifícios públicos, cinco escolas e um museu. As categorias são respostas múltiplas; edificação genérica é uma categoria-guarda-chuva, não uma tipologia homogênea.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121</w:t>
            </w:r>
          </w:p>
        </w:tc>
      </w:tr>
      <w:tr>
        <w:tc>
          <w:tcPr>
            <w:tcW w:type="dxa" w:w="3120"/>
          </w:tcPr>
          <w:p>
            <w:r>
              <w:rPr>
                <w:sz w:val="18"/>
              </w:rPr>
              <w:t>Edificação genérica</w:t>
            </w:r>
          </w:p>
        </w:tc>
        <w:tc>
          <w:tcPr>
            <w:tcW w:type="dxa" w:w="3120"/>
          </w:tcPr>
          <w:p>
            <w:r>
              <w:rPr>
                <w:sz w:val="18"/>
              </w:rPr>
              <w:t>101</w:t>
            </w:r>
          </w:p>
        </w:tc>
        <w:tc>
          <w:tcPr>
            <w:tcW w:type="dxa" w:w="3120"/>
          </w:tcPr>
          <w:p>
            <w:r>
              <w:rPr>
                <w:sz w:val="18"/>
              </w:rPr>
              <w:t>83,5</w:t>
            </w:r>
          </w:p>
        </w:tc>
      </w:tr>
      <w:tr>
        <w:tc>
          <w:tcPr>
            <w:tcW w:type="dxa" w:w="3120"/>
          </w:tcPr>
          <w:p>
            <w:r>
              <w:rPr>
                <w:sz w:val="18"/>
              </w:rPr>
              <w:t>Portfólio predial</w:t>
            </w:r>
          </w:p>
        </w:tc>
        <w:tc>
          <w:tcPr>
            <w:tcW w:type="dxa" w:w="3120"/>
          </w:tcPr>
          <w:p>
            <w:r>
              <w:rPr>
                <w:sz w:val="18"/>
              </w:rPr>
              <w:t>59</w:t>
            </w:r>
          </w:p>
        </w:tc>
        <w:tc>
          <w:tcPr>
            <w:tcW w:type="dxa" w:w="3120"/>
          </w:tcPr>
          <w:p>
            <w:r>
              <w:rPr>
                <w:sz w:val="18"/>
              </w:rPr>
              <w:t>48,8</w:t>
            </w:r>
          </w:p>
        </w:tc>
      </w:tr>
      <w:tr>
        <w:tc>
          <w:tcPr>
            <w:tcW w:type="dxa" w:w="3120"/>
          </w:tcPr>
          <w:p>
            <w:r>
              <w:rPr>
                <w:sz w:val="18"/>
              </w:rPr>
              <w:t>Hospital</w:t>
            </w:r>
          </w:p>
        </w:tc>
        <w:tc>
          <w:tcPr>
            <w:tcW w:type="dxa" w:w="3120"/>
          </w:tcPr>
          <w:p>
            <w:r>
              <w:rPr>
                <w:sz w:val="18"/>
              </w:rPr>
              <w:t>17</w:t>
            </w:r>
          </w:p>
        </w:tc>
        <w:tc>
          <w:tcPr>
            <w:tcW w:type="dxa" w:w="3120"/>
          </w:tcPr>
          <w:p>
            <w:r>
              <w:rPr>
                <w:sz w:val="18"/>
              </w:rPr>
              <w:t>14,0</w:t>
            </w:r>
          </w:p>
        </w:tc>
      </w:tr>
      <w:tr>
        <w:tc>
          <w:tcPr>
            <w:tcW w:type="dxa" w:w="3120"/>
          </w:tcPr>
          <w:p>
            <w:r>
              <w:rPr>
                <w:sz w:val="18"/>
              </w:rPr>
              <w:t>Edifício comercial</w:t>
            </w:r>
          </w:p>
        </w:tc>
        <w:tc>
          <w:tcPr>
            <w:tcW w:type="dxa" w:w="3120"/>
          </w:tcPr>
          <w:p>
            <w:r>
              <w:rPr>
                <w:sz w:val="18"/>
              </w:rPr>
              <w:t>16</w:t>
            </w:r>
          </w:p>
        </w:tc>
        <w:tc>
          <w:tcPr>
            <w:tcW w:type="dxa" w:w="3120"/>
          </w:tcPr>
          <w:p>
            <w:r>
              <w:rPr>
                <w:sz w:val="18"/>
              </w:rPr>
              <w:t>13,2</w:t>
            </w:r>
          </w:p>
        </w:tc>
      </w:tr>
      <w:tr>
        <w:tc>
          <w:tcPr>
            <w:tcW w:type="dxa" w:w="3120"/>
          </w:tcPr>
          <w:p>
            <w:r>
              <w:rPr>
                <w:sz w:val="18"/>
              </w:rPr>
              <w:t>Edifício residencial</w:t>
            </w:r>
          </w:p>
        </w:tc>
        <w:tc>
          <w:tcPr>
            <w:tcW w:type="dxa" w:w="3120"/>
          </w:tcPr>
          <w:p>
            <w:r>
              <w:rPr>
                <w:sz w:val="18"/>
              </w:rPr>
              <w:t>15</w:t>
            </w:r>
          </w:p>
        </w:tc>
        <w:tc>
          <w:tcPr>
            <w:tcW w:type="dxa" w:w="3120"/>
          </w:tcPr>
          <w:p>
            <w:r>
              <w:rPr>
                <w:sz w:val="18"/>
              </w:rPr>
              <w:t>12,4</w:t>
            </w:r>
          </w:p>
        </w:tc>
      </w:tr>
      <w:tr>
        <w:tc>
          <w:tcPr>
            <w:tcW w:type="dxa" w:w="3120"/>
          </w:tcPr>
          <w:p>
            <w:r>
              <w:rPr>
                <w:sz w:val="18"/>
              </w:rPr>
              <w:t>Universidade</w:t>
            </w:r>
          </w:p>
        </w:tc>
        <w:tc>
          <w:tcPr>
            <w:tcW w:type="dxa" w:w="3120"/>
          </w:tcPr>
          <w:p>
            <w:r>
              <w:rPr>
                <w:sz w:val="18"/>
              </w:rPr>
              <w:t>14</w:t>
            </w:r>
          </w:p>
        </w:tc>
        <w:tc>
          <w:tcPr>
            <w:tcW w:type="dxa" w:w="3120"/>
          </w:tcPr>
          <w:p>
            <w:r>
              <w:rPr>
                <w:sz w:val="18"/>
              </w:rPr>
              <w:t>11,6</w:t>
            </w:r>
          </w:p>
        </w:tc>
      </w:tr>
      <w:tr>
        <w:tc>
          <w:tcPr>
            <w:tcW w:type="dxa" w:w="3120"/>
          </w:tcPr>
          <w:p>
            <w:r>
              <w:rPr>
                <w:sz w:val="18"/>
              </w:rPr>
              <w:t>Campus</w:t>
            </w:r>
          </w:p>
        </w:tc>
        <w:tc>
          <w:tcPr>
            <w:tcW w:type="dxa" w:w="3120"/>
          </w:tcPr>
          <w:p>
            <w:r>
              <w:rPr>
                <w:sz w:val="18"/>
              </w:rPr>
              <w:t>10</w:t>
            </w:r>
          </w:p>
        </w:tc>
        <w:tc>
          <w:tcPr>
            <w:tcW w:type="dxa" w:w="3120"/>
          </w:tcPr>
          <w:p>
            <w:r>
              <w:rPr>
                <w:sz w:val="18"/>
              </w:rPr>
              <w:t>8,3</w:t>
            </w:r>
          </w:p>
        </w:tc>
      </w:tr>
      <w:tr>
        <w:tc>
          <w:tcPr>
            <w:tcW w:type="dxa" w:w="3120"/>
          </w:tcPr>
          <w:p>
            <w:r>
              <w:rPr>
                <w:sz w:val="18"/>
              </w:rPr>
              <w:t>Patrimônio histórico</w:t>
            </w:r>
          </w:p>
        </w:tc>
        <w:tc>
          <w:tcPr>
            <w:tcW w:type="dxa" w:w="3120"/>
          </w:tcPr>
          <w:p>
            <w:r>
              <w:rPr>
                <w:sz w:val="18"/>
              </w:rPr>
              <w:t>6</w:t>
            </w:r>
          </w:p>
        </w:tc>
        <w:tc>
          <w:tcPr>
            <w:tcW w:type="dxa" w:w="3120"/>
          </w:tcPr>
          <w:p>
            <w:r>
              <w:rPr>
                <w:sz w:val="18"/>
              </w:rPr>
              <w:t>5,0</w:t>
            </w:r>
          </w:p>
        </w:tc>
      </w:tr>
      <w:tr>
        <w:tc>
          <w:tcPr>
            <w:tcW w:type="dxa" w:w="3120"/>
          </w:tcPr>
          <w:p>
            <w:r>
              <w:rPr>
                <w:sz w:val="18"/>
              </w:rPr>
              <w:t>Edifício público</w:t>
            </w:r>
          </w:p>
        </w:tc>
        <w:tc>
          <w:tcPr>
            <w:tcW w:type="dxa" w:w="3120"/>
          </w:tcPr>
          <w:p>
            <w:r>
              <w:rPr>
                <w:sz w:val="18"/>
              </w:rPr>
              <w:t>5</w:t>
            </w:r>
          </w:p>
        </w:tc>
        <w:tc>
          <w:tcPr>
            <w:tcW w:type="dxa" w:w="3120"/>
          </w:tcPr>
          <w:p>
            <w:r>
              <w:rPr>
                <w:sz w:val="18"/>
              </w:rPr>
              <w:t>4,1</w:t>
            </w:r>
          </w:p>
        </w:tc>
      </w:tr>
      <w:tr>
        <w:tc>
          <w:tcPr>
            <w:tcW w:type="dxa" w:w="3120"/>
          </w:tcPr>
          <w:p>
            <w:r>
              <w:rPr>
                <w:sz w:val="18"/>
              </w:rPr>
              <w:t>Escola</w:t>
            </w:r>
          </w:p>
        </w:tc>
        <w:tc>
          <w:tcPr>
            <w:tcW w:type="dxa" w:w="3120"/>
          </w:tcPr>
          <w:p>
            <w:r>
              <w:rPr>
                <w:sz w:val="18"/>
              </w:rPr>
              <w:t>5</w:t>
            </w:r>
          </w:p>
        </w:tc>
        <w:tc>
          <w:tcPr>
            <w:tcW w:type="dxa" w:w="3120"/>
          </w:tcPr>
          <w:p>
            <w:r>
              <w:rPr>
                <w:sz w:val="18"/>
              </w:rPr>
              <w:t>4,1</w:t>
            </w:r>
          </w:p>
        </w:tc>
      </w:tr>
      <w:tr>
        <w:tc>
          <w:tcPr>
            <w:tcW w:type="dxa" w:w="3120"/>
          </w:tcPr>
          <w:p>
            <w:r>
              <w:rPr>
                <w:sz w:val="18"/>
              </w:rPr>
              <w:t>Museu</w:t>
            </w:r>
          </w:p>
        </w:tc>
        <w:tc>
          <w:tcPr>
            <w:tcW w:type="dxa" w:w="3120"/>
          </w:tcPr>
          <w:p>
            <w:r>
              <w:rPr>
                <w:sz w:val="18"/>
              </w:rPr>
              <w:t>1</w:t>
            </w:r>
          </w:p>
        </w:tc>
        <w:tc>
          <w:tcPr>
            <w:tcW w:type="dxa" w:w="3120"/>
          </w:tcPr>
          <w:p>
            <w:r>
              <w:rPr>
                <w:sz w:val="18"/>
              </w:rPr>
              <w:t>0,8</w:t>
            </w:r>
          </w:p>
        </w:tc>
      </w:tr>
    </w:tbl>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A busca de sensibilidade para inteligência artificial (Seção </w:t>
      </w:r>
      <w:hyperlink w:anchor="sec:buscaia">
        <w:r>
          <w:rPr>
            <w:rStyle w:val="Hyperlink"/>
          </w:rPr>
          <w:t xml:space="preserve">3.4</w:t>
        </w:r>
      </w:hyperlink>
      <w:r>
        <w:t xml:space="preserve">) elevou o contexto universitário de 11 para 14 registros, sem alterar essa conclusão: os três estudos promovidos ao núcleo vêm do mesmo campus universitário taiwanês (</w:t>
      </w:r>
      <w:r>
        <w:rPr>
          <w:iCs/>
          <w:i/>
        </w:rPr>
        <w:t xml:space="preserve">National Taiwan University</w:t>
      </w:r>
      <w:r>
        <w:t xml:space="preserve">), representando concentração em uma única instituição, não diversificação do contexto universitário.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2"/>
    <w:bookmarkStart w:id="59"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90 registros; informação e dados têm 75 coocorrências com</w:t>
      </w:r>
      <w:r>
        <w:t xml:space="preserve"> </w:t>
      </w:r>
      <w:r>
        <w:rPr>
          <w:iCs/>
          <w:i/>
        </w:rPr>
        <w:t xml:space="preserve">framework</w:t>
      </w:r>
      <w:r>
        <w:t xml:space="preserve"> </w:t>
      </w:r>
      <w:r>
        <w:t xml:space="preserve">e 28 com BIM; custo e</w:t>
      </w:r>
      <w:r>
        <w:t xml:space="preserve"> </w:t>
      </w:r>
      <w:r>
        <w:rPr>
          <w:iCs/>
          <w:i/>
        </w:rPr>
        <w:t xml:space="preserve">framework</w:t>
      </w:r>
      <w:r>
        <w:t xml:space="preserve"> </w:t>
      </w:r>
      <w:r>
        <w:t xml:space="preserve">aparecem em 57; e vida útil e custo do ciclo de vida, em 16.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4" name="Picture"/>
            <a:graphic>
              <a:graphicData uri="http://schemas.openxmlformats.org/drawingml/2006/picture">
                <pic:pic>
                  <pic:nvPicPr>
                    <pic:cNvPr descr="figuras/figura13_heatmap_criterios_metodos_nucleo_ampliado_121.png" id="55" name="Picture"/>
                    <pic:cNvPicPr>
                      <a:picLocks noChangeArrowheads="1" noChangeAspect="1"/>
                    </pic:cNvPicPr>
                  </pic:nvPicPr>
                  <pic:blipFill>
                    <a:blip r:embed="rId5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100 coocorrências com</w:t>
      </w:r>
      <w:r>
        <w:t xml:space="preserve"> </w:t>
      </w:r>
      <w:r>
        <w:rPr>
          <w:iCs/>
          <w:i/>
        </w:rPr>
        <w:t xml:space="preserve">framework</w:t>
      </w:r>
      <w:r>
        <w:t xml:space="preserve">, 28 com</w:t>
      </w:r>
      <w:r>
        <w:t xml:space="preserve"> </w:t>
      </w:r>
      <w:r>
        <w:rPr>
          <w:iCs/>
          <w:i/>
        </w:rPr>
        <w:t xml:space="preserve">decision support</w:t>
      </w:r>
      <w:r>
        <w:t xml:space="preserve"> </w:t>
      </w:r>
      <w:r>
        <w:t xml:space="preserve">e 28 com BIM; a institucional tem 88 com</w:t>
      </w:r>
      <w:r>
        <w:t xml:space="preserve"> </w:t>
      </w:r>
      <w:r>
        <w:rPr>
          <w:iCs/>
          <w:i/>
        </w:rPr>
        <w:t xml:space="preserve">framework</w:t>
      </w:r>
      <w:r>
        <w:t xml:space="preserve">, seguida da ambiental com 81, da econômica com 56 e da social com 54. A dimensão ciclo de vida, identificada em 65 registros, não forma grupo independente: ela funciona como eixo transversal entre desempenho, custos e impactos no tempo.</w:t>
      </w:r>
    </w:p>
    <w:p>
      <w:pPr>
        <w:pStyle w:val="CaptionedFigure"/>
      </w:pPr>
      <w:r>
        <w:drawing>
          <wp:inline>
            <wp:extent cx="5334000" cy="2844799"/>
            <wp:effectExtent b="0" l="0" r="0" t="0"/>
            <wp:docPr descr="" title="" id="57" name="Picture"/>
            <a:graphic>
              <a:graphicData uri="http://schemas.openxmlformats.org/drawingml/2006/picture">
                <pic:pic>
                  <pic:nvPicPr>
                    <pic:cNvPr descr="figuras/figura14_matriz_analitica_dimensao_metodo_nucleo_ampliado_121.png" id="58" name="Picture"/>
                    <pic:cNvPicPr>
                      <a:picLocks noChangeArrowheads="1" noChangeAspect="1"/>
                    </pic:cNvPicPr>
                  </pic:nvPicPr>
                  <pic:blipFill>
                    <a:blip r:embed="rId56"/>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99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82 registros; BIM em 28 e digital twin em 11;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34, vida útil em 44 e ciclo de vida em 65; manutenibilidade apoiada por Othman and Kamal (2023).</w:t>
            </w:r>
          </w:p>
        </w:tc>
      </w:tr>
      <w:tr>
        <w:tc>
          <w:tcPr>
            <w:tcW w:type="dxa" w:w="4680"/>
          </w:tcPr>
          <w:p>
            <w:r>
              <w:rPr>
                <w:sz w:val="18"/>
              </w:rPr>
              <w:t>Institucional: conformidade</w:t>
            </w:r>
          </w:p>
        </w:tc>
        <w:tc>
          <w:tcPr>
            <w:tcW w:type="dxa" w:w="4680"/>
          </w:tcPr>
          <w:p>
            <w:r>
              <w:rPr>
                <w:sz w:val="18"/>
              </w:rPr>
              <w:t>Dimensão institucional em 97 registros; adaptação contextual necessária em Talib, Rajagopalan, and Yang (2013).</w:t>
            </w:r>
          </w:p>
        </w:tc>
      </w:tr>
      <w:tr>
        <w:tc>
          <w:tcPr>
            <w:tcW w:type="dxa" w:w="4680"/>
          </w:tcPr>
          <w:p>
            <w:r>
              <w:rPr>
                <w:sz w:val="18"/>
              </w:rPr>
              <w:t>Econômica: custo</w:t>
            </w:r>
          </w:p>
        </w:tc>
        <w:tc>
          <w:tcPr>
            <w:tcW w:type="dxa" w:w="4680"/>
          </w:tcPr>
          <w:p>
            <w:r>
              <w:rPr>
                <w:sz w:val="18"/>
              </w:rPr>
              <w:t>Custo em 63 registros; previsão e ciclo de vida em Kim et al. (2018; Nägeli et al. 2019).</w:t>
            </w:r>
          </w:p>
        </w:tc>
      </w:tr>
      <w:tr>
        <w:tc>
          <w:tcPr>
            <w:tcW w:type="dxa" w:w="4680"/>
          </w:tcPr>
          <w:p>
            <w:r>
              <w:rPr>
                <w:sz w:val="18"/>
              </w:rPr>
              <w:t>Ambiental: energia</w:t>
            </w:r>
          </w:p>
        </w:tc>
        <w:tc>
          <w:tcPr>
            <w:tcW w:type="dxa" w:w="4680"/>
          </w:tcPr>
          <w:p>
            <w:r>
              <w:rPr>
                <w:sz w:val="18"/>
              </w:rPr>
              <w:t>Dimensão ambiental em 92 e energia em 44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59; conforto em 22, segurança em 18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Critério</w:t>
            </w:r>
          </w:p>
        </w:tc>
        <w:tc>
          <w:tcPr>
            <w:tcW w:type="dxa" w:w="1872"/>
          </w:tcPr>
          <w:p>
            <w:r>
              <w:rPr>
                <w:b/>
                <w:sz w:val="18"/>
              </w:rPr>
              <w:t>Indicador candidato</w:t>
            </w:r>
          </w:p>
        </w:tc>
        <w:tc>
          <w:tcPr>
            <w:tcW w:type="dxa" w:w="1872"/>
          </w:tcPr>
          <w:p>
            <w:r>
              <w:rPr>
                <w:b/>
                <w:sz w:val="18"/>
              </w:rPr>
              <w:t>Fonte</w:t>
            </w:r>
          </w:p>
        </w:tc>
        <w:tc>
          <w:tcPr>
            <w:tcW w:type="dxa" w:w="1872"/>
          </w:tcPr>
          <w:p>
            <w:r>
              <w:rPr>
                <w:b/>
                <w:sz w:val="18"/>
              </w:rPr>
              <w:t>Period.</w:t>
            </w:r>
          </w:p>
        </w:tc>
        <w:tc>
          <w:tcPr>
            <w:tcW w:type="dxa" w:w="1872"/>
          </w:tcPr>
          <w:p>
            <w:r>
              <w:rPr>
                <w:b/>
                <w:sz w:val="18"/>
              </w:rPr>
              <w:t>Pref.</w:t>
            </w:r>
          </w:p>
        </w:tc>
      </w:tr>
      <w:tr>
        <w:tc>
          <w:tcPr>
            <w:tcW w:type="dxa" w:w="1872"/>
          </w:tcPr>
          <w:p>
            <w:r>
              <w:rPr>
                <w:sz w:val="18"/>
              </w:rPr>
              <w:t>Desempenho e falha</w:t>
            </w:r>
          </w:p>
        </w:tc>
        <w:tc>
          <w:tcPr>
            <w:tcW w:type="dxa" w:w="1872"/>
          </w:tcPr>
          <w:p>
            <w:r>
              <w:rPr>
                <w:sz w:val="18"/>
              </w:rPr>
              <w:t>Ordens recorrentes por sistema, % das ordens</w:t>
            </w:r>
          </w:p>
        </w:tc>
        <w:tc>
          <w:tcPr>
            <w:tcW w:type="dxa" w:w="1872"/>
          </w:tcPr>
          <w:p>
            <w:r>
              <w:rPr>
                <w:sz w:val="18"/>
              </w:rPr>
              <w:t>Ordens de serviço</w:t>
            </w:r>
          </w:p>
        </w:tc>
        <w:tc>
          <w:tcPr>
            <w:tcW w:type="dxa" w:w="1872"/>
          </w:tcPr>
          <w:p>
            <w:r>
              <w:rPr>
                <w:sz w:val="18"/>
              </w:rPr>
              <w:t>Mensal</w:t>
            </w:r>
          </w:p>
        </w:tc>
        <w:tc>
          <w:tcPr>
            <w:tcW w:type="dxa" w:w="1872"/>
          </w:tcPr>
          <w:p>
            <w:r>
              <w:rPr>
                <w:sz w:val="18"/>
              </w:rPr>
              <w:t>Menor</w:t>
            </w:r>
          </w:p>
        </w:tc>
      </w:tr>
      <w:tr>
        <w:tc>
          <w:tcPr>
            <w:tcW w:type="dxa" w:w="1872"/>
          </w:tcPr>
          <w:p>
            <w:r>
              <w:rPr>
                <w:sz w:val="18"/>
              </w:rPr>
              <w:t>Informação e dados</w:t>
            </w:r>
          </w:p>
        </w:tc>
        <w:tc>
          <w:tcPr>
            <w:tcW w:type="dxa" w:w="1872"/>
          </w:tcPr>
          <w:p>
            <w:r>
              <w:rPr>
                <w:sz w:val="18"/>
              </w:rPr>
              <w:t>Ativos com cadastro e histórico completos, %</w:t>
            </w:r>
          </w:p>
        </w:tc>
        <w:tc>
          <w:tcPr>
            <w:tcW w:type="dxa" w:w="1872"/>
          </w:tcPr>
          <w:p>
            <w:r>
              <w:rPr>
                <w:sz w:val="18"/>
              </w:rPr>
              <w:t>Cadastro e ordens</w:t>
            </w:r>
          </w:p>
        </w:tc>
        <w:tc>
          <w:tcPr>
            <w:tcW w:type="dxa" w:w="1872"/>
          </w:tcPr>
          <w:p>
            <w:r>
              <w:rPr>
                <w:sz w:val="18"/>
              </w:rPr>
              <w:t>Trimestral</w:t>
            </w:r>
          </w:p>
        </w:tc>
        <w:tc>
          <w:tcPr>
            <w:tcW w:type="dxa" w:w="1872"/>
          </w:tcPr>
          <w:p>
            <w:r>
              <w:rPr>
                <w:sz w:val="18"/>
              </w:rPr>
              <w:t>Maior</w:t>
            </w:r>
          </w:p>
        </w:tc>
      </w:tr>
      <w:tr>
        <w:tc>
          <w:tcPr>
            <w:tcW w:type="dxa" w:w="1872"/>
          </w:tcPr>
          <w:p>
            <w:r>
              <w:rPr>
                <w:sz w:val="18"/>
              </w:rPr>
              <w:t>Condição e vida útil</w:t>
            </w:r>
          </w:p>
        </w:tc>
        <w:tc>
          <w:tcPr>
            <w:tcW w:type="dxa" w:w="1872"/>
          </w:tcPr>
          <w:p>
            <w:r>
              <w:rPr>
                <w:sz w:val="18"/>
              </w:rPr>
              <w:t>Índice de condição, escala institucional</w:t>
            </w:r>
          </w:p>
        </w:tc>
        <w:tc>
          <w:tcPr>
            <w:tcW w:type="dxa" w:w="1872"/>
          </w:tcPr>
          <w:p>
            <w:r>
              <w:rPr>
                <w:sz w:val="18"/>
              </w:rPr>
              <w:t>Inspeção e cadastro</w:t>
            </w:r>
          </w:p>
        </w:tc>
        <w:tc>
          <w:tcPr>
            <w:tcW w:type="dxa" w:w="1872"/>
          </w:tcPr>
          <w:p>
            <w:r>
              <w:rPr>
                <w:sz w:val="18"/>
              </w:rPr>
              <w:t>Semestral</w:t>
            </w:r>
          </w:p>
        </w:tc>
        <w:tc>
          <w:tcPr>
            <w:tcW w:type="dxa" w:w="1872"/>
          </w:tcPr>
          <w:p>
            <w:r>
              <w:rPr>
                <w:sz w:val="18"/>
              </w:rPr>
              <w:t>Maior</w:t>
            </w:r>
          </w:p>
        </w:tc>
      </w:tr>
      <w:tr>
        <w:tc>
          <w:tcPr>
            <w:tcW w:type="dxa" w:w="1872"/>
          </w:tcPr>
          <w:p>
            <w:r>
              <w:rPr>
                <w:sz w:val="18"/>
              </w:rPr>
              <w:t>Conformidade</w:t>
            </w:r>
          </w:p>
        </w:tc>
        <w:tc>
          <w:tcPr>
            <w:tcW w:type="dxa" w:w="1872"/>
          </w:tcPr>
          <w:p>
            <w:r>
              <w:rPr>
                <w:sz w:val="18"/>
              </w:rPr>
              <w:t>Requisitos atendidos, %</w:t>
            </w:r>
          </w:p>
        </w:tc>
        <w:tc>
          <w:tcPr>
            <w:tcW w:type="dxa" w:w="1872"/>
          </w:tcPr>
          <w:p>
            <w:r>
              <w:rPr>
                <w:sz w:val="18"/>
              </w:rPr>
              <w:t>Laudos e auditorias</w:t>
            </w:r>
          </w:p>
        </w:tc>
        <w:tc>
          <w:tcPr>
            <w:tcW w:type="dxa" w:w="1872"/>
          </w:tcPr>
          <w:p>
            <w:r>
              <w:rPr>
                <w:sz w:val="18"/>
              </w:rPr>
              <w:t>Anual</w:t>
            </w:r>
          </w:p>
        </w:tc>
        <w:tc>
          <w:tcPr>
            <w:tcW w:type="dxa" w:w="1872"/>
          </w:tcPr>
          <w:p>
            <w:r>
              <w:rPr>
                <w:sz w:val="18"/>
              </w:rPr>
              <w:t>Maior</w:t>
            </w:r>
          </w:p>
        </w:tc>
      </w:tr>
      <w:tr>
        <w:tc>
          <w:tcPr>
            <w:tcW w:type="dxa" w:w="1872"/>
          </w:tcPr>
          <w:p>
            <w:r>
              <w:rPr>
                <w:sz w:val="18"/>
              </w:rPr>
              <w:t>Custo</w:t>
            </w:r>
          </w:p>
        </w:tc>
        <w:tc>
          <w:tcPr>
            <w:tcW w:type="dxa" w:w="1872"/>
          </w:tcPr>
          <w:p>
            <w:r>
              <w:rPr>
                <w:sz w:val="18"/>
              </w:rPr>
              <w:t>Custo estimado por área, R$/m</w:t>
            </w:r>
          </w:p>
        </w:tc>
        <w:tc>
          <w:tcPr>
            <w:tcW w:type="dxa" w:w="1872"/>
          </w:tcPr>
          <w:p>
            <w:r>
              <w:rPr>
                <w:sz w:val="18"/>
              </w:rPr>
              <w:t>Orçamentos e SINAPI</w:t>
            </w:r>
          </w:p>
        </w:tc>
        <w:tc>
          <w:tcPr>
            <w:tcW w:type="dxa" w:w="1872"/>
          </w:tcPr>
          <w:p>
            <w:r>
              <w:rPr>
                <w:sz w:val="18"/>
              </w:rPr>
              <w:t>Semestral</w:t>
            </w:r>
          </w:p>
        </w:tc>
        <w:tc>
          <w:tcPr>
            <w:tcW w:type="dxa" w:w="1872"/>
          </w:tcPr>
          <w:p>
            <w:r>
              <w:rPr>
                <w:sz w:val="18"/>
              </w:rPr>
              <w:t>Menor</w:t>
            </w:r>
          </w:p>
        </w:tc>
      </w:tr>
      <w:tr>
        <w:tc>
          <w:tcPr>
            <w:tcW w:type="dxa" w:w="1872"/>
          </w:tcPr>
          <w:p>
            <w:r>
              <w:rPr>
                <w:sz w:val="18"/>
              </w:rPr>
              <w:t>Energia</w:t>
            </w:r>
          </w:p>
        </w:tc>
        <w:tc>
          <w:tcPr>
            <w:tcW w:type="dxa" w:w="1872"/>
          </w:tcPr>
          <w:p>
            <w:r>
              <w:rPr>
                <w:sz w:val="18"/>
              </w:rPr>
              <w:t>Consumo anual por área, kWh/m/ano</w:t>
            </w:r>
          </w:p>
        </w:tc>
        <w:tc>
          <w:tcPr>
            <w:tcW w:type="dxa" w:w="1872"/>
          </w:tcPr>
          <w:p>
            <w:r>
              <w:rPr>
                <w:sz w:val="18"/>
              </w:rPr>
              <w:t>Faturas ou medidores</w:t>
            </w:r>
          </w:p>
        </w:tc>
        <w:tc>
          <w:tcPr>
            <w:tcW w:type="dxa" w:w="1872"/>
          </w:tcPr>
          <w:p>
            <w:r>
              <w:rPr>
                <w:sz w:val="18"/>
              </w:rPr>
              <w:t>Mensal</w:t>
            </w:r>
          </w:p>
        </w:tc>
        <w:tc>
          <w:tcPr>
            <w:tcW w:type="dxa" w:w="1872"/>
          </w:tcPr>
          <w:p>
            <w:r>
              <w:rPr>
                <w:sz w:val="18"/>
              </w:rPr>
              <w:t>Menor</w:t>
            </w:r>
          </w:p>
        </w:tc>
      </w:tr>
      <w:tr>
        <w:tc>
          <w:tcPr>
            <w:tcW w:type="dxa" w:w="1872"/>
          </w:tcPr>
          <w:p>
            <w:r>
              <w:rPr>
                <w:sz w:val="18"/>
              </w:rPr>
              <w:t>Impacto nos usuários</w:t>
            </w:r>
          </w:p>
        </w:tc>
        <w:tc>
          <w:tcPr>
            <w:tcW w:type="dxa" w:w="1872"/>
          </w:tcPr>
          <w:p>
            <w:r>
              <w:rPr>
                <w:sz w:val="18"/>
              </w:rPr>
              <w:t>Reclamações por 100 usuários</w:t>
            </w:r>
          </w:p>
        </w:tc>
        <w:tc>
          <w:tcPr>
            <w:tcW w:type="dxa" w:w="1872"/>
          </w:tcPr>
          <w:p>
            <w:r>
              <w:rPr>
                <w:sz w:val="18"/>
              </w:rPr>
              <w:t>Ouvidoria e chamados</w:t>
            </w:r>
          </w:p>
        </w:tc>
        <w:tc>
          <w:tcPr>
            <w:tcW w:type="dxa" w:w="1872"/>
          </w:tcPr>
          <w:p>
            <w:r>
              <w:rPr>
                <w:sz w:val="18"/>
              </w:rPr>
              <w:t>Trimestral</w:t>
            </w:r>
          </w:p>
        </w:tc>
        <w:tc>
          <w:tcPr>
            <w:tcW w:type="dxa" w:w="1872"/>
          </w:tcPr>
          <w:p>
            <w:r>
              <w:rPr>
                <w:sz w:val="18"/>
              </w:rPr>
              <w:t>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9"/>
    <w:bookmarkStart w:id="64" w:name="sec:discussao"/>
    <w:p>
      <w:pPr>
        <w:pStyle w:val="Heading1"/>
      </w:pPr>
      <w:r>
        <w:t xml:space="preserve">Discussão</w:t>
      </w:r>
    </w:p>
    <w:bookmarkStart w:id="60"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83,5%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p>
      <w:pPr>
        <w:pStyle w:val="BodyText"/>
      </w:pPr>
      <w:r>
        <w:t xml:space="preserve">A busca de sensibilidade para inteligência artificial e aprendizado de máquina (Seção </w:t>
      </w:r>
      <w:hyperlink w:anchor="sec:buscaia">
        <w:r>
          <w:rPr>
            <w:rStyle w:val="Hyperlink"/>
          </w:rPr>
          <w:t xml:space="preserve">3.4</w:t>
        </w:r>
      </w:hyperlink>
      <w:r>
        <w:t xml:space="preserve">) reforça essa leitura em vez de contradizê-la. Inteligência artificial não é sinônimo de manutenção preditiva: entre os 4.889 registros auditados na busca de sensibilidade, 127 mencionavam manutenção preditiva sem nenhuma técnica de aprendizado de máquina explicitamente aplicada, e foram deliberadamente mantidos fora do núcleo por esse motivo, mesmo quando o termo lexical estava presente. Do mesmo modo, BIM,</w:t>
      </w:r>
      <w:r>
        <w:t xml:space="preserve"> </w:t>
      </w:r>
      <w:r>
        <w:rPr>
          <w:iCs/>
          <w:i/>
        </w:rPr>
        <w:t xml:space="preserve">digital twin</w:t>
      </w:r>
      <w:r>
        <w:t xml:space="preserve"> </w:t>
      </w:r>
      <w:r>
        <w:t xml:space="preserve">e IoT não foram tratados como prova automática de IA, apenas como termos ambíguos que exigem confirmação de técnica computacional efetivamente treinada ou aplicada. O aprendizado de máquina integra-se, portanto, à mesma corrente informacional e digital já identificada para BIM e</w:t>
      </w:r>
      <w:r>
        <w:t xml:space="preserve"> </w:t>
      </w:r>
      <w:r>
        <w:rPr>
          <w:iCs/>
          <w:i/>
        </w:rPr>
        <w:t xml:space="preserve">digital twin</w:t>
      </w:r>
      <w:r>
        <w:t xml:space="preserve"> </w:t>
      </w:r>
      <w:r>
        <w:t xml:space="preserve">na Seção </w:t>
      </w:r>
      <w:hyperlink w:anchor="sec:metodos">
        <w:r>
          <w:rPr>
            <w:rStyle w:val="Hyperlink"/>
          </w:rPr>
          <w:t xml:space="preserve">7</w:t>
        </w:r>
      </w:hyperlink>
      <w:r>
        <w:t xml:space="preserve">, sem constituir categoria separada de maturidade: presença documental de um termo de IA no título ou resumo não equivale a adoção institucional, validação de desempenho ou substituição de métodos multicritério já consolidados. Sete registros do núcleo original, previamente classificados como secundários ou excluídos, foram reavaliados sob esse critério porque o dicionário de perguntas de pesquisa vigente até então (RQ0 a RQ5) não continha termos dedicados a IA/aprendizado de máquina; cinco foram promovidos ao núcleo principal por evidenciarem técnica computacional efetivamente aplicada, não por reinterpretação do conteúdo original dos estudos.</w:t>
      </w:r>
    </w:p>
    <w:bookmarkEnd w:id="60"/>
    <w:bookmarkStart w:id="61"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1"/>
    <w:bookmarkStart w:id="62"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2"/>
    <w:bookmarkStart w:id="63"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3"/>
    <w:bookmarkEnd w:id="64"/>
    <w:bookmarkStart w:id="65"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121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Busca de sensibilidade para IA.</w:t>
      </w:r>
      <w:r>
        <w:t xml:space="preserve"> </w:t>
      </w:r>
      <w:r>
        <w:t xml:space="preserve">Os 4.889 registros da busca de sensibilidade foram classificados por correspondência automatizada de termos contra o dicionário RQ6, não por leitura de texto completo; apenas os candidatos ao núcleo (20 antes da revisão manual) tiveram título e resumo lidos individualmente. A fatia recuperada no Crossref apresentou ausência sistemática de resumo (24,9% com resumo, ante 100% na Scopus e na Web of Science), reduzindo a confiabilidade da classificação nessa fatia e concentrando os registros de confiança baixa; nenhum registro de núcleo desta rodada veio exclusivamente do Crossref. A busca de sensibilidade cobriu apenas as mesmas três bases do núcleo original, sem literatura cinzenta nem bases adicionais especializadas em ciência da computação.</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5"/>
    <w:bookmarkStart w:id="136"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manutenção preditiva e, de forma ainda emergente conforme a busca complementar de sensibilidade (Seção </w:t>
      </w:r>
      <w:hyperlink w:anchor="sec:buscaia">
        <w:r>
          <w:rPr>
            <w:rStyle w:val="Hyperlink"/>
          </w:rPr>
          <w:t xml:space="preserve">3.4</w:t>
        </w:r>
      </w:hyperlink>
      <w:r>
        <w:t xml:space="preserve">), aprendizado de máquina. A síntese temática mostrou que dimensões técnica-operacional, institucional e ambiental e critérios de desempenho, informação, custo, vida útil, energia e risco formam o núcleo documental, agora com 121 registros.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aprendizado de máquina, tema da busca de sensibilidade, cresceu de nove para 26 registros, mas sua presença documental não substitui validação de desempenho nem indica maturidade institucional de adoção.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5" w:name="refs"/>
    <w:bookmarkStart w:id="67"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6">
        <w:r>
          <w:rPr>
            <w:rStyle w:val="Hyperlink"/>
          </w:rPr>
          <w:t xml:space="preserve">https://doi.org/10.1108/IJLSS-09-2015-0035</w:t>
        </w:r>
      </w:hyperlink>
      <w:r>
        <w:t xml:space="preserve">.</w:t>
      </w:r>
    </w:p>
    <w:bookmarkEnd w:id="67"/>
    <w:bookmarkStart w:id="69"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8">
        <w:r>
          <w:rPr>
            <w:rStyle w:val="Hyperlink"/>
          </w:rPr>
          <w:t xml:space="preserve">https://doi.org/10.3390/su14169955</w:t>
        </w:r>
      </w:hyperlink>
      <w:r>
        <w:t xml:space="preserve">.</w:t>
      </w:r>
    </w:p>
    <w:bookmarkEnd w:id="69"/>
    <w:bookmarkStart w:id="71"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70">
        <w:r>
          <w:rPr>
            <w:rStyle w:val="Hyperlink"/>
          </w:rPr>
          <w:t xml:space="preserve">https://doi.org/10.21315/jcdc.2025.30.2.6</w:t>
        </w:r>
      </w:hyperlink>
      <w:r>
        <w:t xml:space="preserve">.</w:t>
      </w:r>
    </w:p>
    <w:bookmarkEnd w:id="71"/>
    <w:bookmarkStart w:id="73"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2">
        <w:r>
          <w:rPr>
            <w:rStyle w:val="Hyperlink"/>
          </w:rPr>
          <w:t xml:space="preserve">https://doi.org/10.18607/ES201532557</w:t>
        </w:r>
      </w:hyperlink>
      <w:r>
        <w:t xml:space="preserve">.</w:t>
      </w:r>
    </w:p>
    <w:bookmarkEnd w:id="73"/>
    <w:bookmarkStart w:id="74"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4"/>
    <w:bookmarkStart w:id="76"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5">
        <w:r>
          <w:rPr>
            <w:rStyle w:val="Hyperlink"/>
          </w:rPr>
          <w:t xml:space="preserve">https://doi.org/10.18820/24150487/as24i2.4</w:t>
        </w:r>
      </w:hyperlink>
      <w:r>
        <w:t xml:space="preserve">.</w:t>
      </w:r>
    </w:p>
    <w:bookmarkEnd w:id="76"/>
    <w:bookmarkStart w:id="78"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7">
        <w:r>
          <w:rPr>
            <w:rStyle w:val="Hyperlink"/>
          </w:rPr>
          <w:t xml:space="preserve">https://doi.org/10.1108/SS-02-2016-0007</w:t>
        </w:r>
      </w:hyperlink>
      <w:r>
        <w:t xml:space="preserve">.</w:t>
      </w:r>
    </w:p>
    <w:bookmarkEnd w:id="78"/>
    <w:bookmarkStart w:id="80"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9">
        <w:r>
          <w:rPr>
            <w:rStyle w:val="Hyperlink"/>
          </w:rPr>
          <w:t xml:space="preserve">https://doi.org/10.1108/F-09-2018-0107</w:t>
        </w:r>
      </w:hyperlink>
      <w:r>
        <w:t xml:space="preserve">.</w:t>
      </w:r>
    </w:p>
    <w:bookmarkEnd w:id="80"/>
    <w:bookmarkStart w:id="82"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1">
        <w:r>
          <w:rPr>
            <w:rStyle w:val="Hyperlink"/>
          </w:rPr>
          <w:t xml:space="preserve">https://www.crossref.org/documentation/retrieve-metadata/rest-api/</w:t>
        </w:r>
      </w:hyperlink>
      <w:r>
        <w:t xml:space="preserve">.</w:t>
      </w:r>
    </w:p>
    <w:bookmarkEnd w:id="82"/>
    <w:bookmarkStart w:id="84"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3">
        <w:r>
          <w:rPr>
            <w:rStyle w:val="Hyperlink"/>
          </w:rPr>
          <w:t xml:space="preserve">https://doi.org/10.36680/j.itcon.2021.005</w:t>
        </w:r>
      </w:hyperlink>
      <w:r>
        <w:t xml:space="preserve">.</w:t>
      </w:r>
    </w:p>
    <w:bookmarkEnd w:id="84"/>
    <w:bookmarkStart w:id="86"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5">
        <w:r>
          <w:rPr>
            <w:rStyle w:val="Hyperlink"/>
          </w:rPr>
          <w:t xml:space="preserve">https://doi.org/10.1016/j.jbusres.2021.04.070</w:t>
        </w:r>
      </w:hyperlink>
      <w:r>
        <w:t xml:space="preserve">.</w:t>
      </w:r>
    </w:p>
    <w:bookmarkEnd w:id="86"/>
    <w:bookmarkStart w:id="88"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7">
        <w:r>
          <w:rPr>
            <w:rStyle w:val="Hyperlink"/>
          </w:rPr>
          <w:t xml:space="preserve">https://doi.org/10.1108/SASBE-07-2023-0170</w:t>
        </w:r>
      </w:hyperlink>
      <w:r>
        <w:t xml:space="preserve">.</w:t>
      </w:r>
    </w:p>
    <w:bookmarkEnd w:id="88"/>
    <w:bookmarkStart w:id="90"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9">
        <w:r>
          <w:rPr>
            <w:rStyle w:val="Hyperlink"/>
          </w:rPr>
          <w:t xml:space="preserve">https://doi.org/10.1080/15732479.2019.1652657</w:t>
        </w:r>
      </w:hyperlink>
      <w:r>
        <w:t xml:space="preserve">.</w:t>
      </w:r>
    </w:p>
    <w:bookmarkEnd w:id="90"/>
    <w:bookmarkStart w:id="92"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1">
        <w:r>
          <w:rPr>
            <w:rStyle w:val="Hyperlink"/>
          </w:rPr>
          <w:t xml:space="preserve">https://doi.org/10.1051/e3sconf/202342901002</w:t>
        </w:r>
      </w:hyperlink>
      <w:r>
        <w:t xml:space="preserve">.</w:t>
      </w:r>
    </w:p>
    <w:bookmarkEnd w:id="92"/>
    <w:bookmarkStart w:id="94"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3">
        <w:r>
          <w:rPr>
            <w:rStyle w:val="Hyperlink"/>
          </w:rPr>
          <w:t xml:space="preserve">https://doi.org/10.3758/s13428-026-02961-x</w:t>
        </w:r>
      </w:hyperlink>
      <w:r>
        <w:t xml:space="preserve">.</w:t>
      </w:r>
    </w:p>
    <w:bookmarkEnd w:id="94"/>
    <w:bookmarkStart w:id="96"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5">
        <w:r>
          <w:rPr>
            <w:rStyle w:val="Hyperlink"/>
          </w:rPr>
          <w:t xml:space="preserve">https://doi.org/10.1093/database/bat086</w:t>
        </w:r>
      </w:hyperlink>
      <w:r>
        <w:t xml:space="preserve">.</w:t>
      </w:r>
    </w:p>
    <w:bookmarkEnd w:id="96"/>
    <w:bookmarkStart w:id="98"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7">
        <w:r>
          <w:rPr>
            <w:rStyle w:val="Hyperlink"/>
          </w:rPr>
          <w:t xml:space="preserve">https://doi.org/10.3130/jaabe.17.307</w:t>
        </w:r>
      </w:hyperlink>
      <w:r>
        <w:t xml:space="preserve">.</w:t>
      </w:r>
    </w:p>
    <w:bookmarkEnd w:id="98"/>
    <w:bookmarkStart w:id="100"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9">
        <w:r>
          <w:rPr>
            <w:rStyle w:val="Hyperlink"/>
          </w:rPr>
          <w:t xml:space="preserve">https://doi.org/10.47179/abcustos.v19i1.719</w:t>
        </w:r>
      </w:hyperlink>
      <w:r>
        <w:t xml:space="preserve">.</w:t>
      </w:r>
    </w:p>
    <w:bookmarkEnd w:id="100"/>
    <w:bookmarkStart w:id="102"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1">
        <w:r>
          <w:rPr>
            <w:rStyle w:val="Hyperlink"/>
          </w:rPr>
          <w:t xml:space="preserve">https://doi.org/10.1111/itor.70022</w:t>
        </w:r>
      </w:hyperlink>
      <w:r>
        <w:t xml:space="preserve">.</w:t>
      </w:r>
    </w:p>
    <w:bookmarkEnd w:id="102"/>
    <w:bookmarkStart w:id="104"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3">
        <w:r>
          <w:rPr>
            <w:rStyle w:val="Hyperlink"/>
          </w:rPr>
          <w:t xml:space="preserve">https://doi.org/10.18830/issn.1679-0944.n34.2023.08</w:t>
        </w:r>
      </w:hyperlink>
      <w:r>
        <w:t xml:space="preserve">.</w:t>
      </w:r>
    </w:p>
    <w:bookmarkEnd w:id="104"/>
    <w:bookmarkStart w:id="106"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5">
        <w:r>
          <w:rPr>
            <w:rStyle w:val="Hyperlink"/>
          </w:rPr>
          <w:t xml:space="preserve">https://doi.org/10.1016/j.buildenv.2019.106212</w:t>
        </w:r>
      </w:hyperlink>
      <w:r>
        <w:t xml:space="preserve">.</w:t>
      </w:r>
    </w:p>
    <w:bookmarkEnd w:id="106"/>
    <w:bookmarkStart w:id="108"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7">
        <w:r>
          <w:rPr>
            <w:rStyle w:val="Hyperlink"/>
          </w:rPr>
          <w:t xml:space="preserve">https://doi.org/10.1061/JCEMD4.COENG-13154</w:t>
        </w:r>
      </w:hyperlink>
      <w:r>
        <w:t xml:space="preserve">.</w:t>
      </w:r>
    </w:p>
    <w:bookmarkEnd w:id="108"/>
    <w:bookmarkStart w:id="110"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9">
        <w:r>
          <w:rPr>
            <w:rStyle w:val="Hyperlink"/>
          </w:rPr>
          <w:t xml:space="preserve">https://doi.org/10.56065/pdpyke84</w:t>
        </w:r>
      </w:hyperlink>
      <w:r>
        <w:t xml:space="preserve">.</w:t>
      </w:r>
    </w:p>
    <w:bookmarkEnd w:id="110"/>
    <w:bookmarkStart w:id="112"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1">
        <w:r>
          <w:rPr>
            <w:rStyle w:val="Hyperlink"/>
          </w:rPr>
          <w:t xml:space="preserve">https://doi.org/10.1108/F-07-2014-0060</w:t>
        </w:r>
      </w:hyperlink>
      <w:r>
        <w:t xml:space="preserve">.</w:t>
      </w:r>
    </w:p>
    <w:bookmarkEnd w:id="112"/>
    <w:bookmarkStart w:id="114"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3">
        <w:r>
          <w:rPr>
            <w:rStyle w:val="Hyperlink"/>
          </w:rPr>
          <w:t xml:space="preserve">https://doi.org/10.3390/su15043174</w:t>
        </w:r>
      </w:hyperlink>
      <w:r>
        <w:t xml:space="preserve">.</w:t>
      </w:r>
    </w:p>
    <w:bookmarkEnd w:id="114"/>
    <w:bookmarkStart w:id="116"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5">
        <w:r>
          <w:rPr>
            <w:rStyle w:val="Hyperlink"/>
          </w:rPr>
          <w:t xml:space="preserve">https://doi.org/10.3390/su14031705</w:t>
        </w:r>
      </w:hyperlink>
      <w:r>
        <w:t xml:space="preserve">.</w:t>
      </w:r>
    </w:p>
    <w:bookmarkEnd w:id="116"/>
    <w:bookmarkStart w:id="118"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7">
        <w:r>
          <w:rPr>
            <w:rStyle w:val="Hyperlink"/>
          </w:rPr>
          <w:t xml:space="preserve">https://doi.org/10.2478/otmcj-2023-0005</w:t>
        </w:r>
      </w:hyperlink>
      <w:r>
        <w:t xml:space="preserve">.</w:t>
      </w:r>
    </w:p>
    <w:bookmarkEnd w:id="118"/>
    <w:bookmarkStart w:id="120"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9">
        <w:r>
          <w:rPr>
            <w:rStyle w:val="Hyperlink"/>
          </w:rPr>
          <w:t xml:space="preserve">https://doi.org/10.3390/su11247181</w:t>
        </w:r>
      </w:hyperlink>
      <w:r>
        <w:t xml:space="preserve">.</w:t>
      </w:r>
    </w:p>
    <w:bookmarkEnd w:id="120"/>
    <w:bookmarkStart w:id="122"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1">
        <w:r>
          <w:rPr>
            <w:rStyle w:val="Hyperlink"/>
          </w:rPr>
          <w:t xml:space="preserve">https://doi.org/10.1108/IJBPA-07-2025-0169</w:t>
        </w:r>
      </w:hyperlink>
      <w:r>
        <w:t xml:space="preserve">.</w:t>
      </w:r>
    </w:p>
    <w:bookmarkEnd w:id="122"/>
    <w:bookmarkStart w:id="124"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3">
        <w:r>
          <w:rPr>
            <w:rStyle w:val="Hyperlink"/>
          </w:rPr>
          <w:t xml:space="preserve">https://doi.org/10.1186/2046-4053-4-6</w:t>
        </w:r>
      </w:hyperlink>
      <w:r>
        <w:t xml:space="preserve">.</w:t>
      </w:r>
    </w:p>
    <w:bookmarkEnd w:id="124"/>
    <w:bookmarkStart w:id="126"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5">
        <w:r>
          <w:rPr>
            <w:rStyle w:val="Hyperlink"/>
          </w:rPr>
          <w:t xml:space="preserve">https://doi.org/10.1016/j.jbusres.2019.07.039</w:t>
        </w:r>
      </w:hyperlink>
      <w:r>
        <w:t xml:space="preserve">.</w:t>
      </w:r>
    </w:p>
    <w:bookmarkEnd w:id="126"/>
    <w:bookmarkStart w:id="128"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7">
        <w:r>
          <w:rPr>
            <w:rStyle w:val="Hyperlink"/>
          </w:rPr>
          <w:t xml:space="preserve">https://doi.org/10.1108/F-06-2012-0042</w:t>
        </w:r>
      </w:hyperlink>
      <w:r>
        <w:t xml:space="preserve">.</w:t>
      </w:r>
    </w:p>
    <w:bookmarkEnd w:id="128"/>
    <w:bookmarkStart w:id="130"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9">
        <w:r>
          <w:rPr>
            <w:rStyle w:val="Hyperlink"/>
          </w:rPr>
          <w:t xml:space="preserve">https://doi.org/10.1108/F-03-2016-0028</w:t>
        </w:r>
      </w:hyperlink>
      <w:r>
        <w:t xml:space="preserve">.</w:t>
      </w:r>
    </w:p>
    <w:bookmarkEnd w:id="130"/>
    <w:bookmarkStart w:id="132"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1">
        <w:r>
          <w:rPr>
            <w:rStyle w:val="Hyperlink"/>
          </w:rPr>
          <w:t xml:space="preserve">https://doi.org/10.1111/j.1365-2648.2005.03621.x</w:t>
        </w:r>
      </w:hyperlink>
      <w:r>
        <w:t xml:space="preserve">.</w:t>
      </w:r>
    </w:p>
    <w:bookmarkEnd w:id="132"/>
    <w:bookmarkStart w:id="134"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3">
        <w:r>
          <w:rPr>
            <w:rStyle w:val="Hyperlink"/>
          </w:rPr>
          <w:t xml:space="preserve">https://doi.org/10.1061/(ASCE)CF.1943-5509.0001176</w:t>
        </w:r>
      </w:hyperlink>
      <w:r>
        <w:t xml:space="preserve">.</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3" Type="http://schemas.openxmlformats.org/officeDocument/2006/relationships/image" Target="media/rId53.png"/><Relationship Id="rId56" Type="http://schemas.openxmlformats.org/officeDocument/2006/relationships/image" Target="media/rId56.png"/><Relationship Id="rId36" Type="http://schemas.openxmlformats.org/officeDocument/2006/relationships/image" Target="media/rId36.pdf"/><Relationship Id="rId27" Type="http://schemas.openxmlformats.org/officeDocument/2006/relationships/image" Target="media/rId27.pdf"/><Relationship Id="rId30" Type="http://schemas.openxmlformats.org/officeDocument/2006/relationships/image" Target="media/rId30.pdf"/><Relationship Id="rId33" Type="http://schemas.openxmlformats.org/officeDocument/2006/relationships/image" Target="media/rId33.pdf"/><Relationship Id="rId105" Type="http://schemas.openxmlformats.org/officeDocument/2006/relationships/hyperlink" Target="https://doi.org/10.1016/j.buildenv.2019.106212" TargetMode="External"/><Relationship Id="rId125" Type="http://schemas.openxmlformats.org/officeDocument/2006/relationships/hyperlink" Target="https://doi.org/10.1016/j.jbusres.2019.07.039" TargetMode="External"/><Relationship Id="rId85" Type="http://schemas.openxmlformats.org/officeDocument/2006/relationships/hyperlink" Target="https://doi.org/10.1016/j.jbusres.2021.04.070" TargetMode="External"/><Relationship Id="rId91" Type="http://schemas.openxmlformats.org/officeDocument/2006/relationships/hyperlink" Target="https://doi.org/10.1051/e3sconf/202342901002" TargetMode="External"/><Relationship Id="rId133" Type="http://schemas.openxmlformats.org/officeDocument/2006/relationships/hyperlink" Target="https://doi.org/10.1061/(ASCE)CF.1943-5509.0001176" TargetMode="External"/><Relationship Id="rId107" Type="http://schemas.openxmlformats.org/officeDocument/2006/relationships/hyperlink" Target="https://doi.org/10.1061/JCEMD4.COENG-13154" TargetMode="External"/><Relationship Id="rId89" Type="http://schemas.openxmlformats.org/officeDocument/2006/relationships/hyperlink" Target="https://doi.org/10.1080/15732479.2019.1652657" TargetMode="External"/><Relationship Id="rId95" Type="http://schemas.openxmlformats.org/officeDocument/2006/relationships/hyperlink" Target="https://doi.org/10.1093/database/bat086" TargetMode="External"/><Relationship Id="rId129" Type="http://schemas.openxmlformats.org/officeDocument/2006/relationships/hyperlink" Target="https://doi.org/10.1108/F-03-2016-0028" TargetMode="External"/><Relationship Id="rId127" Type="http://schemas.openxmlformats.org/officeDocument/2006/relationships/hyperlink" Target="https://doi.org/10.1108/F-06-2012-0042" TargetMode="External"/><Relationship Id="rId111" Type="http://schemas.openxmlformats.org/officeDocument/2006/relationships/hyperlink" Target="https://doi.org/10.1108/F-07-2014-0060" TargetMode="External"/><Relationship Id="rId79" Type="http://schemas.openxmlformats.org/officeDocument/2006/relationships/hyperlink" Target="https://doi.org/10.1108/F-09-2018-0107" TargetMode="External"/><Relationship Id="rId12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87" Type="http://schemas.openxmlformats.org/officeDocument/2006/relationships/hyperlink" Target="https://doi.org/10.1108/SASBE-07-2023-0170" TargetMode="External"/><Relationship Id="rId77" Type="http://schemas.openxmlformats.org/officeDocument/2006/relationships/hyperlink" Target="https://doi.org/10.1108/SS-02-2016-0007" TargetMode="External"/><Relationship Id="rId101" Type="http://schemas.openxmlformats.org/officeDocument/2006/relationships/hyperlink" Target="https://doi.org/10.1111/itor.70022" TargetMode="External"/><Relationship Id="rId131" Type="http://schemas.openxmlformats.org/officeDocument/2006/relationships/hyperlink" Target="https://doi.org/10.1111/j.1365-2648.2005.03621.x" TargetMode="External"/><Relationship Id="rId123" Type="http://schemas.openxmlformats.org/officeDocument/2006/relationships/hyperlink" Target="https://doi.org/10.1186/2046-4053-4-6" TargetMode="External"/><Relationship Id="rId72" Type="http://schemas.openxmlformats.org/officeDocument/2006/relationships/hyperlink" Target="https://doi.org/10.18607/ES201532557" TargetMode="External"/><Relationship Id="rId75" Type="http://schemas.openxmlformats.org/officeDocument/2006/relationships/hyperlink" Target="https://doi.org/10.18820/24150487/as24i2.4" TargetMode="External"/><Relationship Id="rId103" Type="http://schemas.openxmlformats.org/officeDocument/2006/relationships/hyperlink" Target="https://doi.org/10.18830/issn.1679-0944.n34.2023.08" TargetMode="External"/><Relationship Id="rId70" Type="http://schemas.openxmlformats.org/officeDocument/2006/relationships/hyperlink" Target="https://doi.org/10.21315/jcdc.2025.30.2.6" TargetMode="External"/><Relationship Id="rId117" Type="http://schemas.openxmlformats.org/officeDocument/2006/relationships/hyperlink" Target="https://doi.org/10.2478/otmcj-2023-0005" TargetMode="External"/><Relationship Id="rId97" Type="http://schemas.openxmlformats.org/officeDocument/2006/relationships/hyperlink" Target="https://doi.org/10.3130/jaabe.17.307" TargetMode="External"/><Relationship Id="rId119" Type="http://schemas.openxmlformats.org/officeDocument/2006/relationships/hyperlink" Target="https://doi.org/10.3390/su11247181" TargetMode="External"/><Relationship Id="rId11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13" Type="http://schemas.openxmlformats.org/officeDocument/2006/relationships/hyperlink" Target="https://doi.org/10.3390/su15043174" TargetMode="External"/><Relationship Id="rId83" Type="http://schemas.openxmlformats.org/officeDocument/2006/relationships/hyperlink" Target="https://doi.org/10.36680/j.itcon.2021.005" TargetMode="External"/><Relationship Id="rId93" Type="http://schemas.openxmlformats.org/officeDocument/2006/relationships/hyperlink" Target="https://doi.org/10.3758/s13428-026-02961-x" TargetMode="External"/><Relationship Id="rId99" Type="http://schemas.openxmlformats.org/officeDocument/2006/relationships/hyperlink" Target="https://doi.org/10.47179/abcustos.v19i1.719" TargetMode="External"/><Relationship Id="rId109" Type="http://schemas.openxmlformats.org/officeDocument/2006/relationships/hyperlink" Target="https://doi.org/10.56065/pdpyke84" TargetMode="External"/><Relationship Id="rId81" Type="http://schemas.openxmlformats.org/officeDocument/2006/relationships/hyperlink" Target="https://www.crossref.org/documentation/retrieve-metadata/rest-api/" TargetMode="External"/></Relationships>
</file>

<file path=word/_rels/footnotes.xml.rels><?xml version='1.0' encoding='UTF-8' standalone='yes'?>
<Relationships xmlns="http://schemas.openxmlformats.org/package/2006/relationships"><Relationship Id="rId105" Type="http://schemas.openxmlformats.org/officeDocument/2006/relationships/hyperlink" Target="https://doi.org/10.1016/j.buildenv.2019.106212" TargetMode="External"/><Relationship Id="rId125" Type="http://schemas.openxmlformats.org/officeDocument/2006/relationships/hyperlink" Target="https://doi.org/10.1016/j.jbusres.2019.07.039" TargetMode="External"/><Relationship Id="rId85" Type="http://schemas.openxmlformats.org/officeDocument/2006/relationships/hyperlink" Target="https://doi.org/10.1016/j.jbusres.2021.04.070" TargetMode="External"/><Relationship Id="rId91" Type="http://schemas.openxmlformats.org/officeDocument/2006/relationships/hyperlink" Target="https://doi.org/10.1051/e3sconf/202342901002" TargetMode="External"/><Relationship Id="rId133" Type="http://schemas.openxmlformats.org/officeDocument/2006/relationships/hyperlink" Target="https://doi.org/10.1061/(ASCE)CF.1943-5509.0001176" TargetMode="External"/><Relationship Id="rId107" Type="http://schemas.openxmlformats.org/officeDocument/2006/relationships/hyperlink" Target="https://doi.org/10.1061/JCEMD4.COENG-13154" TargetMode="External"/><Relationship Id="rId89" Type="http://schemas.openxmlformats.org/officeDocument/2006/relationships/hyperlink" Target="https://doi.org/10.1080/15732479.2019.1652657" TargetMode="External"/><Relationship Id="rId95" Type="http://schemas.openxmlformats.org/officeDocument/2006/relationships/hyperlink" Target="https://doi.org/10.1093/database/bat086" TargetMode="External"/><Relationship Id="rId129" Type="http://schemas.openxmlformats.org/officeDocument/2006/relationships/hyperlink" Target="https://doi.org/10.1108/F-03-2016-0028" TargetMode="External"/><Relationship Id="rId127" Type="http://schemas.openxmlformats.org/officeDocument/2006/relationships/hyperlink" Target="https://doi.org/10.1108/F-06-2012-0042" TargetMode="External"/><Relationship Id="rId111" Type="http://schemas.openxmlformats.org/officeDocument/2006/relationships/hyperlink" Target="https://doi.org/10.1108/F-07-2014-0060" TargetMode="External"/><Relationship Id="rId79" Type="http://schemas.openxmlformats.org/officeDocument/2006/relationships/hyperlink" Target="https://doi.org/10.1108/F-09-2018-0107" TargetMode="External"/><Relationship Id="rId12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87" Type="http://schemas.openxmlformats.org/officeDocument/2006/relationships/hyperlink" Target="https://doi.org/10.1108/SASBE-07-2023-0170" TargetMode="External"/><Relationship Id="rId77" Type="http://schemas.openxmlformats.org/officeDocument/2006/relationships/hyperlink" Target="https://doi.org/10.1108/SS-02-2016-0007" TargetMode="External"/><Relationship Id="rId101" Type="http://schemas.openxmlformats.org/officeDocument/2006/relationships/hyperlink" Target="https://doi.org/10.1111/itor.70022" TargetMode="External"/><Relationship Id="rId131" Type="http://schemas.openxmlformats.org/officeDocument/2006/relationships/hyperlink" Target="https://doi.org/10.1111/j.1365-2648.2005.03621.x" TargetMode="External"/><Relationship Id="rId123" Type="http://schemas.openxmlformats.org/officeDocument/2006/relationships/hyperlink" Target="https://doi.org/10.1186/2046-4053-4-6" TargetMode="External"/><Relationship Id="rId72" Type="http://schemas.openxmlformats.org/officeDocument/2006/relationships/hyperlink" Target="https://doi.org/10.18607/ES201532557" TargetMode="External"/><Relationship Id="rId75" Type="http://schemas.openxmlformats.org/officeDocument/2006/relationships/hyperlink" Target="https://doi.org/10.18820/24150487/as24i2.4" TargetMode="External"/><Relationship Id="rId103" Type="http://schemas.openxmlformats.org/officeDocument/2006/relationships/hyperlink" Target="https://doi.org/10.18830/issn.1679-0944.n34.2023.08" TargetMode="External"/><Relationship Id="rId70" Type="http://schemas.openxmlformats.org/officeDocument/2006/relationships/hyperlink" Target="https://doi.org/10.21315/jcdc.2025.30.2.6" TargetMode="External"/><Relationship Id="rId117" Type="http://schemas.openxmlformats.org/officeDocument/2006/relationships/hyperlink" Target="https://doi.org/10.2478/otmcj-2023-0005" TargetMode="External"/><Relationship Id="rId97" Type="http://schemas.openxmlformats.org/officeDocument/2006/relationships/hyperlink" Target="https://doi.org/10.3130/jaabe.17.307" TargetMode="External"/><Relationship Id="rId119" Type="http://schemas.openxmlformats.org/officeDocument/2006/relationships/hyperlink" Target="https://doi.org/10.3390/su11247181" TargetMode="External"/><Relationship Id="rId11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13" Type="http://schemas.openxmlformats.org/officeDocument/2006/relationships/hyperlink" Target="https://doi.org/10.3390/su15043174" TargetMode="External"/><Relationship Id="rId83" Type="http://schemas.openxmlformats.org/officeDocument/2006/relationships/hyperlink" Target="https://doi.org/10.36680/j.itcon.2021.005" TargetMode="External"/><Relationship Id="rId93" Type="http://schemas.openxmlformats.org/officeDocument/2006/relationships/hyperlink" Target="https://doi.org/10.3758/s13428-026-02961-x" TargetMode="External"/><Relationship Id="rId99" Type="http://schemas.openxmlformats.org/officeDocument/2006/relationships/hyperlink" Target="https://doi.org/10.47179/abcustos.v19i1.719" TargetMode="External"/><Relationship Id="rId109" Type="http://schemas.openxmlformats.org/officeDocument/2006/relationships/hyperlink" Target="https://doi.org/10.56065/pdpyke84" TargetMode="External"/><Relationship Id="rId81"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2026-07-13T00:33:07Z</dcterms:created>
  <dcterms:modified xsi:type="dcterms:W3CDTF">2026-07-13T00:33:07Z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