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blHeader w:val="true"/>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0"/>
    </w:p>
    <w:p>
      <w:pPr>
        <w:pStyle w:val="Heading1"/>
        <w:rPr/>
      </w:pPr>
      <w:bookmarkStart w:id="1"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2"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blHeader w:val="true"/>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r>
        <w:rPr>
          <w:i/>
          <w:sz w:val="18"/>
        </w:rPr>
        <w:t>Fonte: elaborado pelo autor.</w:t>
      </w:r>
      <w:bookmarkEnd w:id="2"/>
    </w:p>
    <w:p>
      <w:pPr>
        <w:pStyle w:val="Heading2"/>
        <w:rPr/>
      </w:pPr>
      <w:bookmarkStart w:id="3"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560"/>
        <w:gridCol w:w="1559"/>
        <w:gridCol w:w="1561"/>
        <w:gridCol w:w="1560"/>
        <w:gridCol w:w="1559"/>
        <w:gridCol w:w="1561"/>
      </w:tblGrid>
      <w:tr>
        <w:trPr>
          <w:tblHeader w:val="true"/>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r>
        <w:rPr>
          <w:i/>
          <w:sz w:val="18"/>
        </w:rPr>
        <w:t>Fonte: elaborado pelo autor.</w:t>
      </w:r>
      <w:bookmarkEnd w:id="3"/>
    </w:p>
    <w:p>
      <w:pPr>
        <w:pStyle w:val="Heading2"/>
        <w:rPr/>
      </w:pPr>
      <w:bookmarkStart w:id="4"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4"/>
    </w:p>
    <w:p>
      <w:pPr>
        <w:pStyle w:val="Heading2"/>
        <w:rPr/>
      </w:pPr>
      <w:bookmarkStart w:id="5"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170"/>
        <w:gridCol w:w="1170"/>
        <w:gridCol w:w="1170"/>
        <w:gridCol w:w="1170"/>
        <w:gridCol w:w="1170"/>
        <w:gridCol w:w="1170"/>
        <w:gridCol w:w="1170"/>
        <w:gridCol w:w="1170"/>
      </w:tblGrid>
      <w:tr>
        <w:trPr>
          <w:tblHeader w:val="true"/>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ImageCaption"/>
        <w:rPr/>
      </w:pPr>
      <w:bookmarkStart w:id="6" w:name="fig%3Afunil"/>
      <w:r>
        <w:rPr/>
        <w:t>Fluxo integrado da busca principal e da busca complementar de sensibilidade</w:t>
      </w:r>
      <w:bookmarkEnd w:id="6"/>
    </w:p>
    <w:p>
      <w:pPr>
        <w:pStyle w:val="BodyText"/>
        <w:rPr/>
      </w:pPr>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5"/>
    </w:p>
    <w:p>
      <w:pPr>
        <w:pStyle w:val="Heading2"/>
        <w:rPr/>
      </w:pPr>
      <w:bookmarkStart w:id="7"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7"/>
    </w:p>
    <w:p>
      <w:pPr>
        <w:pStyle w:val="Heading2"/>
        <w:rPr/>
      </w:pPr>
      <w:bookmarkStart w:id="8"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
      <w:bookmarkEnd w:id="8"/>
    </w:p>
    <w:p>
      <w:pPr>
        <w:pStyle w:val="Heading1"/>
        <w:rPr/>
      </w:pPr>
      <w:bookmarkStart w:id="9" w:name="sec%3Aresultados"/>
      <w:r>
        <w:rPr>
          <w:rStyle w:val="SectionNumber"/>
        </w:rPr>
        <w:t>3</w:t>
      </w:r>
      <w:r>
        <w:rPr/>
        <w:tab/>
        <w:t>Resultados e discussão</w:t>
      </w:r>
    </w:p>
    <w:p>
      <w:pPr>
        <w:pStyle w:val="Heading2"/>
        <w:rPr/>
      </w:pPr>
      <w:bookmarkStart w:id="10"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bookmarkStart w:id="11" w:name="fig%3Atemporal"/>
      <w:r>
        <w:rPr/>
        <w:drawing>
          <wp:inline distT="0" distB="0" distL="0" distR="0">
            <wp:extent cx="4800600" cy="280035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
                    <a:stretch>
                      <a:fillRect/>
                    </a:stretch>
                  </pic:blipFill>
                  <pic:spPr bwMode="auto">
                    <a:xfrm>
                      <a:off x="0" y="0"/>
                      <a:ext cx="4800600" cy="2800350"/>
                    </a:xfrm>
                    <a:prstGeom prst="rect">
                      <a:avLst/>
                    </a:prstGeom>
                    <a:noFill/>
                  </pic:spPr>
                </pic:pic>
              </a:graphicData>
            </a:graphic>
          </wp:inline>
        </w:drawing>
      </w:r>
    </w:p>
    <w:p>
      <w:pPr>
        <w:pStyle w:val="ImageCaption"/>
        <w:rPr/>
      </w:pPr>
      <w:r>
        <w:rPr/>
        <w:t>Gráfico 1. Distribuição temporal do núcleo temático vigente</w:t>
      </w:r>
      <w:bookmarkEnd w:id="11"/>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blHeader w:val="true"/>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bookmarkStart w:id="12" w:name="fig%3Afontes372"/>
      <w:r>
        <w:rPr/>
        <w:drawing>
          <wp:inline distT="0" distB="0" distL="0" distR="0">
            <wp:extent cx="5227320" cy="3425190"/>
            <wp:effectExtent l="0" t="0" r="0" b="0"/>
            <wp:docPr id="2"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pic:cNvPicPr>
                      <a:picLocks noChangeAspect="1" noChangeArrowheads="1"/>
                    </pic:cNvPicPr>
                  </pic:nvPicPr>
                  <pic:blipFill>
                    <a:blip r:embed="rId3"/>
                    <a:stretch>
                      <a:fillRect/>
                    </a:stretch>
                  </pic:blipFill>
                  <pic:spPr bwMode="auto">
                    <a:xfrm>
                      <a:off x="0" y="0"/>
                      <a:ext cx="5227320" cy="3425190"/>
                    </a:xfrm>
                    <a:prstGeom prst="rect">
                      <a:avLst/>
                    </a:prstGeom>
                    <a:noFill/>
                  </pic:spPr>
                </pic:pic>
              </a:graphicData>
            </a:graphic>
          </wp:inline>
        </w:drawing>
      </w:r>
    </w:p>
    <w:p>
      <w:pPr>
        <w:pStyle w:val="ImageCaption"/>
        <w:rPr/>
      </w:pPr>
      <w:r>
        <w:rPr/>
        <w:t>Gráfico 2. Fontes mais frequentes no corpus bibliométrico ampliado</w:t>
      </w:r>
      <w:bookmarkEnd w:id="12"/>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bookmarkStart w:id="13" w:name="fig%3Amapatematico372"/>
      <w:r>
        <w:rPr/>
        <w:drawing>
          <wp:inline distT="0" distB="0" distL="0" distR="0">
            <wp:extent cx="5227320" cy="3595370"/>
            <wp:effectExtent l="0" t="0" r="0" b="0"/>
            <wp:docPr id="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pic:cNvPicPr>
                      <a:picLocks noChangeAspect="1" noChangeArrowheads="1"/>
                    </pic:cNvPicPr>
                  </pic:nvPicPr>
                  <pic:blipFill>
                    <a:blip r:embed="rId4"/>
                    <a:stretch>
                      <a:fillRect/>
                    </a:stretch>
                  </pic:blipFill>
                  <pic:spPr bwMode="auto">
                    <a:xfrm>
                      <a:off x="0" y="0"/>
                      <a:ext cx="5227320" cy="3595370"/>
                    </a:xfrm>
                    <a:prstGeom prst="rect">
                      <a:avLst/>
                    </a:prstGeom>
                    <a:noFill/>
                  </pic:spPr>
                </pic:pic>
              </a:graphicData>
            </a:graphic>
          </wp:inline>
        </w:drawing>
      </w:r>
    </w:p>
    <w:p>
      <w:pPr>
        <w:pStyle w:val="ImageCaption"/>
        <w:rPr/>
      </w:pPr>
      <w:r>
        <w:rPr/>
        <w:t>Gráfico 3. Mapa temático por centralidade e densidade das palavras-chave</w:t>
      </w:r>
      <w:bookmarkEnd w:id="13"/>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bookmarkStart w:id="14" w:name="fig%3Aredecor372"/>
      <w:r>
        <w:rPr/>
        <w:drawing>
          <wp:inline distT="0" distB="0" distL="0" distR="0">
            <wp:extent cx="5227320" cy="4194810"/>
            <wp:effectExtent l="0" t="0" r="0" b="0"/>
            <wp:docPr id="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pic:cNvPicPr>
                      <a:picLocks noChangeAspect="1" noChangeArrowheads="1"/>
                    </pic:cNvPicPr>
                  </pic:nvPicPr>
                  <pic:blipFill>
                    <a:blip r:embed="rId5"/>
                    <a:stretch>
                      <a:fillRect/>
                    </a:stretch>
                  </pic:blipFill>
                  <pic:spPr bwMode="auto">
                    <a:xfrm>
                      <a:off x="0" y="0"/>
                      <a:ext cx="5227320" cy="4194810"/>
                    </a:xfrm>
                    <a:prstGeom prst="rect">
                      <a:avLst/>
                    </a:prstGeom>
                    <a:noFill/>
                  </pic:spPr>
                </pic:pic>
              </a:graphicData>
            </a:graphic>
          </wp:inline>
        </w:drawing>
      </w:r>
    </w:p>
    <w:p>
      <w:pPr>
        <w:pStyle w:val="ImageCaption"/>
        <w:rPr/>
      </w:pPr>
      <w:r>
        <w:rPr/>
        <w:t>Gráfico 4. Rede normalizada de coocorrência de palavras-chave</w:t>
      </w:r>
      <w:bookmarkEnd w:id="14"/>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bookmarkStart w:id="15" w:name="fig%3Aevolucaotematica372"/>
      <w:r>
        <w:rPr/>
        <w:drawing>
          <wp:inline distT="0" distB="0" distL="0" distR="0">
            <wp:extent cx="5227320" cy="4161790"/>
            <wp:effectExtent l="0" t="0" r="0" b="0"/>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6"/>
                    <a:stretch>
                      <a:fillRect/>
                    </a:stretch>
                  </pic:blipFill>
                  <pic:spPr bwMode="auto">
                    <a:xfrm>
                      <a:off x="0" y="0"/>
                      <a:ext cx="5227320" cy="4161790"/>
                    </a:xfrm>
                    <a:prstGeom prst="rect">
                      <a:avLst/>
                    </a:prstGeom>
                    <a:noFill/>
                  </pic:spPr>
                </pic:pic>
              </a:graphicData>
            </a:graphic>
          </wp:inline>
        </w:drawing>
      </w:r>
    </w:p>
    <w:p>
      <w:pPr>
        <w:pStyle w:val="ImageCaption"/>
        <w:rPr/>
      </w:pPr>
      <w:r>
        <w:rPr/>
        <w:t>Gráfico 5. Evolução das palavras-chave entre 2010–2020 e 2021–2026</w:t>
      </w:r>
      <w:bookmarkEnd w:id="15"/>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0"/>
    </w:p>
    <w:p>
      <w:pPr>
        <w:pStyle w:val="Heading2"/>
        <w:rPr/>
      </w:pPr>
      <w:bookmarkStart w:id="16"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bookmarkStart w:id="17" w:name="fig%3Adimensoes"/>
      <w:r>
        <w:rPr/>
        <w:drawing>
          <wp:inline distT="0" distB="0" distL="0" distR="0">
            <wp:extent cx="4800600" cy="2936875"/>
            <wp:effectExtent l="0" t="0" r="0" b="0"/>
            <wp:docPr id="6"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pic:cNvPicPr>
                      <a:picLocks noChangeAspect="1" noChangeArrowheads="1"/>
                    </pic:cNvPicPr>
                  </pic:nvPicPr>
                  <pic:blipFill>
                    <a:blip r:embed="rId7"/>
                    <a:stretch>
                      <a:fillRect/>
                    </a:stretch>
                  </pic:blipFill>
                  <pic:spPr bwMode="auto">
                    <a:xfrm>
                      <a:off x="0" y="0"/>
                      <a:ext cx="4800600" cy="2936875"/>
                    </a:xfrm>
                    <a:prstGeom prst="rect">
                      <a:avLst/>
                    </a:prstGeom>
                    <a:noFill/>
                  </pic:spPr>
                </pic:pic>
              </a:graphicData>
            </a:graphic>
          </wp:inline>
        </w:drawing>
      </w:r>
    </w:p>
    <w:p>
      <w:pPr>
        <w:pStyle w:val="ImageCaption"/>
        <w:rPr/>
      </w:pPr>
      <w:r>
        <w:rPr/>
        <w:t>Gráfico 6. Dimensões de sustentabilidade identificadas no núcleo temático vigente</w:t>
      </w:r>
      <w:bookmarkEnd w:id="17"/>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6"/>
    </w:p>
    <w:p>
      <w:pPr>
        <w:pStyle w:val="Heading2"/>
        <w:rPr/>
      </w:pPr>
      <w:bookmarkStart w:id="18"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bookmarkStart w:id="19" w:name="fig%3Ametodos"/>
      <w:r>
        <w:rPr/>
        <w:drawing>
          <wp:inline distT="0" distB="0" distL="0" distR="0">
            <wp:extent cx="5067300" cy="4617085"/>
            <wp:effectExtent l="0" t="0" r="0" b="0"/>
            <wp:docPr id="7" name="Figur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pic:cNvPicPr>
                      <a:picLocks noChangeAspect="1" noChangeArrowheads="1"/>
                    </pic:cNvPicPr>
                  </pic:nvPicPr>
                  <pic:blipFill>
                    <a:blip r:embed="rId8"/>
                    <a:stretch>
                      <a:fillRect/>
                    </a:stretch>
                  </pic:blipFill>
                  <pic:spPr bwMode="auto">
                    <a:xfrm>
                      <a:off x="0" y="0"/>
                      <a:ext cx="5067300" cy="4617085"/>
                    </a:xfrm>
                    <a:prstGeom prst="rect">
                      <a:avLst/>
                    </a:prstGeom>
                    <a:noFill/>
                  </pic:spPr>
                </pic:pic>
              </a:graphicData>
            </a:graphic>
          </wp:inline>
        </w:drawing>
      </w:r>
    </w:p>
    <w:p>
      <w:pPr>
        <w:pStyle w:val="ImageCaption"/>
        <w:rPr/>
      </w:pPr>
      <w:r>
        <w:rPr/>
        <w:t>Gráfico 7. Abordagens e métodos de apoio à decisão identificados no núcleo temático vigente</w:t>
      </w:r>
      <w:bookmarkEnd w:id="19"/>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rPr>
            <m:lit/>
            <m:nor/>
          </m:rP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18"/>
    </w:p>
    <w:p>
      <w:pPr>
        <w:pStyle w:val="Heading2"/>
        <w:rPr/>
      </w:pPr>
      <w:bookmarkStart w:id="20"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0"/>
    </w:p>
    <w:p>
      <w:pPr>
        <w:pStyle w:val="Heading2"/>
        <w:rPr/>
      </w:pPr>
      <w:bookmarkStart w:id="21"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bookmarkStart w:id="22" w:name="fig%3Aheatmap"/>
      <w:r>
        <w:rPr/>
        <w:drawing>
          <wp:inline distT="0" distB="0" distL="0" distR="0">
            <wp:extent cx="5227320" cy="3584575"/>
            <wp:effectExtent l="0" t="0" r="0" b="0"/>
            <wp:docPr id="8" name="Figur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pic:cNvPicPr>
                      <a:picLocks noChangeAspect="1" noChangeArrowheads="1"/>
                    </pic:cNvPicPr>
                  </pic:nvPicPr>
                  <pic:blipFill>
                    <a:blip r:embed="rId9"/>
                    <a:stretch>
                      <a:fillRect/>
                    </a:stretch>
                  </pic:blipFill>
                  <pic:spPr bwMode="auto">
                    <a:xfrm>
                      <a:off x="0" y="0"/>
                      <a:ext cx="5227320" cy="3584575"/>
                    </a:xfrm>
                    <a:prstGeom prst="rect">
                      <a:avLst/>
                    </a:prstGeom>
                    <a:noFill/>
                  </pic:spPr>
                </pic:pic>
              </a:graphicData>
            </a:graphic>
          </wp:inline>
        </w:drawing>
      </w:r>
    </w:p>
    <w:p>
      <w:pPr>
        <w:pStyle w:val="ImageCaption"/>
        <w:rPr/>
      </w:pPr>
      <w:r>
        <w:rPr/>
        <w:t>Gráfico 8. Coocorrência entre critérios de priorização e instrumentos de apoio à decisão</w:t>
      </w:r>
      <w:bookmarkEnd w:id="22"/>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bookmarkStart w:id="23" w:name="fig%3Amatrizanalitica"/>
      <w:r>
        <w:rPr/>
        <w:drawing>
          <wp:inline distT="0" distB="0" distL="0" distR="0">
            <wp:extent cx="5227320" cy="2787650"/>
            <wp:effectExtent l="0" t="0" r="0" b="0"/>
            <wp:docPr id="9" name="Figur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pic:cNvPicPr>
                      <a:picLocks noChangeAspect="1" noChangeArrowheads="1"/>
                    </pic:cNvPicPr>
                  </pic:nvPicPr>
                  <pic:blipFill>
                    <a:blip r:embed="rId10"/>
                    <a:stretch>
                      <a:fillRect/>
                    </a:stretch>
                  </pic:blipFill>
                  <pic:spPr bwMode="auto">
                    <a:xfrm>
                      <a:off x="0" y="0"/>
                      <a:ext cx="5227320" cy="2787650"/>
                    </a:xfrm>
                    <a:prstGeom prst="rect">
                      <a:avLst/>
                    </a:prstGeom>
                    <a:noFill/>
                  </pic:spPr>
                </pic:pic>
              </a:graphicData>
            </a:graphic>
          </wp:inline>
        </w:drawing>
      </w:r>
    </w:p>
    <w:p>
      <w:pPr>
        <w:pStyle w:val="ImageCaption"/>
        <w:rPr/>
      </w:pPr>
      <w:r>
        <w:rPr/>
        <w:t>Gráfico 9. Matriz de coocorrência entre dimensões de sustentabilidade e instrumentos de apoio à decisão</w:t>
      </w:r>
      <w:bookmarkEnd w:id="23"/>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Sutrisna (2018).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blHeader w:val="true"/>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ImageCaption"/>
        <w:rPr/>
      </w:pPr>
      <w:bookmarkStart w:id="24" w:name="fig%3Afluxoprotocolo"/>
      <w:r>
        <w:rPr/>
        <w:t>Fluxo candidato para validação e futura parametrização multicritério</w:t>
      </w:r>
      <w:bookmarkEnd w:id="24"/>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9"/>
      <w:bookmarkEnd w:id="21"/>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Heading1"/>
        <w:rPr/>
      </w:pPr>
      <w:bookmarkStart w:id="26" w:name="refs"/>
      <w:bookmarkStart w:id="27" w:name="ref-aldairi_lean6sbm_2017"/>
      <w:r>
        <w:rPr/>
        <w:t>Referências</w:t>
      </w:r>
    </w:p>
    <w:p>
      <w:pPr>
        <w:pStyle w:val="Bibliography"/>
        <w:rPr/>
      </w:pPr>
      <w:r>
        <w:rPr/>
        <w:t xml:space="preserve">ALDAIRI, Jasim; KHAN, M. K.; MUNIVE-HERNANDEZ, J. Eduardo. </w:t>
      </w:r>
      <w:hyperlink r:id="rId11">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7"/>
    </w:p>
    <w:p>
      <w:pPr>
        <w:pStyle w:val="Bibliography"/>
        <w:rPr/>
      </w:pPr>
      <w:bookmarkStart w:id="28" w:name="ref-alfalah_frameworkeducacional_2022"/>
      <w:r>
        <w:rPr/>
        <w:t xml:space="preserve">ALFALAH, Ghasan </w:t>
      </w:r>
      <w:r>
        <w:rPr>
          <w:i/>
          <w:iCs/>
        </w:rPr>
        <w:t>et al.</w:t>
      </w:r>
      <w:r>
        <w:rPr/>
        <w:t xml:space="preserve"> </w:t>
      </w:r>
      <w:hyperlink r:id="rId12">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8"/>
    </w:p>
    <w:p>
      <w:pPr>
        <w:pStyle w:val="Bibliography"/>
        <w:rPr/>
      </w:pPr>
      <w:bookmarkStart w:id="29" w:name="ref-alici_iotambientes_2026"/>
      <w:r>
        <w:rPr/>
        <w:t xml:space="preserve">ALICI, Nedim. </w:t>
      </w:r>
      <w:hyperlink r:id="rId13">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29"/>
    </w:p>
    <w:p>
      <w:pPr>
        <w:pStyle w:val="Bibliography"/>
        <w:rPr/>
      </w:pPr>
      <w:bookmarkStart w:id="30" w:name="ref-aliu_barreirasdt_2025"/>
      <w:r>
        <w:rPr/>
        <w:t xml:space="preserve">ALIU, Abdulmalik Adozuka </w:t>
      </w:r>
      <w:r>
        <w:rPr>
          <w:i/>
          <w:iCs/>
        </w:rPr>
        <w:t>et al.</w:t>
      </w:r>
      <w:r>
        <w:rPr/>
        <w:t xml:space="preserve"> </w:t>
      </w:r>
      <w:hyperlink r:id="rId14">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0"/>
    </w:p>
    <w:p>
      <w:pPr>
        <w:pStyle w:val="Bibliography"/>
        <w:rPr/>
      </w:pPr>
      <w:bookmarkStart w:id="31" w:name="ref-araujoneto_manutencaolegislacao_2015"/>
      <w:r>
        <w:rPr/>
        <w:t xml:space="preserve">ARAÚJO NETO, Paschoal Gavazza de. </w:t>
      </w:r>
      <w:hyperlink r:id="rId15">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1"/>
    </w:p>
    <w:p>
      <w:pPr>
        <w:pStyle w:val="Bibliography"/>
        <w:rPr/>
      </w:pPr>
      <w:bookmarkStart w:id="32"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2"/>
    </w:p>
    <w:p>
      <w:pPr>
        <w:pStyle w:val="Bibliography"/>
        <w:rPr/>
      </w:pPr>
      <w:bookmarkStart w:id="33" w:name="ref-awuzie_fmuniversidades_2017"/>
      <w:r>
        <w:rPr/>
        <w:t xml:space="preserve">AWUZIE, Bankole Osita; ISA, Rasheed. </w:t>
      </w:r>
      <w:hyperlink r:id="rId16">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3"/>
    </w:p>
    <w:p>
      <w:pPr>
        <w:pStyle w:val="Bibliography"/>
        <w:rPr/>
      </w:pPr>
      <w:bookmarkStart w:id="34" w:name="X8197757cb75e327dcc86b36afee00a28411c12b"/>
      <w:r>
        <w:rPr/>
        <w:t xml:space="preserve">BARBOSA, Ana Maria da Silva </w:t>
      </w:r>
      <w:r>
        <w:rPr>
          <w:i/>
          <w:iCs/>
        </w:rPr>
        <w:t>et al.</w:t>
      </w:r>
      <w:r>
        <w:rPr/>
        <w:t xml:space="preserve"> </w:t>
      </w:r>
      <w:hyperlink r:id="rId17">
        <w:r>
          <w:rPr>
            <w:rStyle w:val="Hyperlink"/>
          </w:rPr>
          <w:t>A gestão de facilities na manutenção de uma instituição pública</w:t>
        </w:r>
      </w:hyperlink>
      <w:r>
        <w:rPr/>
        <w:t xml:space="preserve">. </w:t>
      </w:r>
      <w:r>
        <w:rPr>
          <w:b/>
          <w:bCs/>
        </w:rPr>
        <w:t>Revista Gestão Industrial</w:t>
      </w:r>
      <w:r>
        <w:rPr/>
        <w:t>, v. 16, n. 3, p. 129–146, 2020.</w:t>
      </w:r>
      <w:bookmarkEnd w:id="34"/>
    </w:p>
    <w:p>
      <w:pPr>
        <w:pStyle w:val="Bibliography"/>
        <w:rPr/>
      </w:pPr>
      <w:bookmarkStart w:id="35" w:name="ref-chew_manutenibilidadeverde_2016"/>
      <w:r>
        <w:rPr/>
        <w:t xml:space="preserve">CHEW, Michael Yit Lin; CONEJOS, Sheila. </w:t>
      </w:r>
      <w:hyperlink r:id="rId18">
        <w:r>
          <w:rPr>
            <w:rStyle w:val="Hyperlink"/>
          </w:rPr>
          <w:t>Developing a green maintainability framework for green walls in Singapore</w:t>
        </w:r>
      </w:hyperlink>
      <w:r>
        <w:rPr/>
        <w:t xml:space="preserve">. </w:t>
      </w:r>
      <w:r>
        <w:rPr>
          <w:b/>
          <w:bCs/>
        </w:rPr>
        <w:t>Structural Survey</w:t>
      </w:r>
      <w:r>
        <w:rPr/>
        <w:t>, v. 34, n. 4/5, p. 379–406, 2016.</w:t>
      </w:r>
      <w:bookmarkEnd w:id="35"/>
    </w:p>
    <w:p>
      <w:pPr>
        <w:pStyle w:val="Bibliography"/>
        <w:rPr/>
      </w:pPr>
      <w:bookmarkStart w:id="36" w:name="ref-conejos_verticalgreenery_2019"/>
      <w:r>
        <w:rPr/>
        <w:t xml:space="preserve">CONEJOS, Sheila; CHEW, Michael Yit Lin; AZRIL, Fikril Hakim Bin. </w:t>
      </w:r>
      <w:hyperlink r:id="rId19">
        <w:r>
          <w:rPr>
            <w:rStyle w:val="Hyperlink"/>
          </w:rPr>
          <w:t>Green maintainability assessment of high-rise vertical greenery systems</w:t>
        </w:r>
      </w:hyperlink>
      <w:r>
        <w:rPr/>
        <w:t xml:space="preserve">. </w:t>
      </w:r>
      <w:r>
        <w:rPr>
          <w:b/>
          <w:bCs/>
        </w:rPr>
        <w:t>Facilities</w:t>
      </w:r>
      <w:r>
        <w:rPr/>
        <w:t>, v. 37, n. 13/14, p. 1008–1047, 2019.</w:t>
      </w:r>
      <w:bookmarkEnd w:id="36"/>
    </w:p>
    <w:p>
      <w:pPr>
        <w:pStyle w:val="Bibliography"/>
        <w:rPr/>
      </w:pPr>
      <w:bookmarkStart w:id="37" w:name="ref-crossref_restapi_2026"/>
      <w:r>
        <w:rPr/>
        <w:t xml:space="preserve">CROSSREF. </w:t>
      </w:r>
      <w:r>
        <w:rPr>
          <w:b/>
          <w:bCs/>
        </w:rPr>
        <w:t>REST API: metadata retrieval</w:t>
      </w:r>
      <w:r>
        <w:rPr/>
        <w:t>. Disponível em: &lt;</w:t>
      </w:r>
      <w:hyperlink r:id="rId20">
        <w:r>
          <w:rPr>
            <w:rStyle w:val="Hyperlink"/>
          </w:rPr>
          <w:t>https://www.crossref.org/documentation/retrieve-metadata/rest-api/</w:t>
        </w:r>
      </w:hyperlink>
      <w:r>
        <w:rPr/>
        <w:t>&gt;. Acesso em: 10 jul. 2026.</w:t>
      </w:r>
      <w:bookmarkEnd w:id="37"/>
    </w:p>
    <w:p>
      <w:pPr>
        <w:pStyle w:val="Bibliography"/>
        <w:rPr/>
      </w:pPr>
      <w:bookmarkStart w:id="38" w:name="ref-das_iotai_2025"/>
      <w:r>
        <w:rPr/>
        <w:t xml:space="preserve">DAS, Dillip Kumar. </w:t>
      </w:r>
      <w:hyperlink r:id="rId21">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8"/>
    </w:p>
    <w:p>
      <w:pPr>
        <w:pStyle w:val="Bibliography"/>
        <w:rPr/>
      </w:pPr>
      <w:bookmarkStart w:id="39" w:name="ref-deng_bimdigitaltwins_2021"/>
      <w:r>
        <w:rPr/>
        <w:t xml:space="preserve">DENG, Min; MENASSA, Carol C.; KAMAT, Vineet R. </w:t>
      </w:r>
      <w:hyperlink r:id="rId22">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39"/>
    </w:p>
    <w:p>
      <w:pPr>
        <w:pStyle w:val="Bibliography"/>
        <w:rPr/>
      </w:pPr>
      <w:bookmarkStart w:id="40" w:name="ref-donthu_bibliometria_2021"/>
      <w:r>
        <w:rPr/>
        <w:t xml:space="preserve">DONTHU, Naveen </w:t>
      </w:r>
      <w:r>
        <w:rPr>
          <w:i/>
          <w:iCs/>
        </w:rPr>
        <w:t>et al.</w:t>
      </w:r>
      <w:r>
        <w:rPr/>
        <w:t xml:space="preserve"> </w:t>
      </w:r>
      <w:hyperlink r:id="rId23">
        <w:r>
          <w:rPr>
            <w:rStyle w:val="Hyperlink"/>
          </w:rPr>
          <w:t>How to conduct a bibliometric analysis: an overview and guidelines</w:t>
        </w:r>
      </w:hyperlink>
      <w:r>
        <w:rPr/>
        <w:t xml:space="preserve">. </w:t>
      </w:r>
      <w:r>
        <w:rPr>
          <w:b/>
          <w:bCs/>
        </w:rPr>
        <w:t>Journal of Business Research</w:t>
      </w:r>
      <w:r>
        <w:rPr/>
        <w:t>, v. 133, p. 285–296, 2021.</w:t>
      </w:r>
      <w:bookmarkEnd w:id="40"/>
    </w:p>
    <w:p>
      <w:pPr>
        <w:pStyle w:val="Bibliography"/>
        <w:rPr/>
      </w:pPr>
      <w:bookmarkStart w:id="41" w:name="ref-gispert_ontologiaativos_2025"/>
      <w:r>
        <w:rPr/>
        <w:t xml:space="preserve">ESPINOSA GISPERT, Diego </w:t>
      </w:r>
      <w:r>
        <w:rPr>
          <w:i/>
          <w:iCs/>
        </w:rPr>
        <w:t>et al.</w:t>
      </w:r>
      <w:r>
        <w:rPr/>
        <w:t xml:space="preserve"> </w:t>
      </w:r>
      <w:hyperlink r:id="rId24">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1"/>
    </w:p>
    <w:p>
      <w:pPr>
        <w:pStyle w:val="Bibliography"/>
        <w:rPr/>
      </w:pPr>
      <w:bookmarkStart w:id="42" w:name="ref-ferreira_manutencaoceramica_2020"/>
      <w:r>
        <w:rPr/>
        <w:t xml:space="preserve">FERREIRA, Cláudia </w:t>
      </w:r>
      <w:r>
        <w:rPr>
          <w:i/>
          <w:iCs/>
        </w:rPr>
        <w:t>et al.</w:t>
      </w:r>
      <w:r>
        <w:rPr/>
        <w:t xml:space="preserve"> </w:t>
      </w:r>
      <w:hyperlink r:id="rId25">
        <w:r>
          <w:rPr>
            <w:rStyle w:val="Hyperlink"/>
          </w:rPr>
          <w:t>Stochastic maintenance models for ceramic claddings</w:t>
        </w:r>
      </w:hyperlink>
      <w:r>
        <w:rPr/>
        <w:t xml:space="preserve">. </w:t>
      </w:r>
      <w:r>
        <w:rPr>
          <w:b/>
          <w:bCs/>
        </w:rPr>
        <w:t>Structure and Infrastructure Engineering</w:t>
      </w:r>
      <w:r>
        <w:rPr/>
        <w:t>, v. 16, n. 2, p. 247–265, 2020.</w:t>
      </w:r>
      <w:bookmarkEnd w:id="42"/>
    </w:p>
    <w:p>
      <w:pPr>
        <w:pStyle w:val="Bibliography"/>
        <w:rPr/>
      </w:pPr>
      <w:bookmarkStart w:id="43" w:name="ref-goretti_bimoem_2023"/>
      <w:r>
        <w:rPr/>
        <w:t xml:space="preserve">GORETTI, Hannah A.; KAMING, Peter. </w:t>
      </w:r>
      <w:hyperlink r:id="rId26">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3"/>
    </w:p>
    <w:p>
      <w:pPr>
        <w:pStyle w:val="Bibliography"/>
        <w:rPr/>
      </w:pPr>
      <w:bookmarkStart w:id="44" w:name="ref-hu_revisao_sintese_2026"/>
      <w:r>
        <w:rPr/>
        <w:t xml:space="preserve">HU, Meilan </w:t>
      </w:r>
      <w:r>
        <w:rPr>
          <w:i/>
          <w:iCs/>
        </w:rPr>
        <w:t>et al.</w:t>
      </w:r>
      <w:r>
        <w:rPr/>
        <w:t xml:space="preserve"> </w:t>
      </w:r>
      <w:hyperlink r:id="rId27">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4"/>
    </w:p>
    <w:p>
      <w:pPr>
        <w:pStyle w:val="Bibliography"/>
        <w:rPr/>
      </w:pPr>
      <w:bookmarkStart w:id="45" w:name="ref-jiang_deduplicacao_regras_2014"/>
      <w:r>
        <w:rPr/>
        <w:t xml:space="preserve">JIANG, Yu </w:t>
      </w:r>
      <w:r>
        <w:rPr>
          <w:i/>
          <w:iCs/>
        </w:rPr>
        <w:t>et al.</w:t>
      </w:r>
      <w:r>
        <w:rPr/>
        <w:t xml:space="preserve"> </w:t>
      </w:r>
      <w:hyperlink r:id="rId28">
        <w:r>
          <w:rPr>
            <w:rStyle w:val="Hyperlink"/>
          </w:rPr>
          <w:t>Rule-based deduplication of article records from bibliographic databases</w:t>
        </w:r>
      </w:hyperlink>
      <w:r>
        <w:rPr/>
        <w:t xml:space="preserve">. </w:t>
      </w:r>
      <w:r>
        <w:rPr>
          <w:b/>
          <w:bCs/>
        </w:rPr>
        <w:t>Database</w:t>
      </w:r>
      <w:r>
        <w:rPr/>
        <w:t>, v. 2014, p. bat086, 2014.</w:t>
      </w:r>
      <w:bookmarkEnd w:id="45"/>
    </w:p>
    <w:p>
      <w:pPr>
        <w:pStyle w:val="Bibliography"/>
        <w:rPr/>
      </w:pPr>
      <w:bookmarkStart w:id="46" w:name="ref-kim_estimativacustoseducacional_2018"/>
      <w:r>
        <w:rPr/>
        <w:t xml:space="preserve">KIM, Ji-Myong </w:t>
      </w:r>
      <w:r>
        <w:rPr>
          <w:i/>
          <w:iCs/>
        </w:rPr>
        <w:t>et al.</w:t>
      </w:r>
      <w:r>
        <w:rPr/>
        <w:t xml:space="preserve"> </w:t>
      </w:r>
      <w:hyperlink r:id="rId29">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6"/>
    </w:p>
    <w:p>
      <w:pPr>
        <w:pStyle w:val="Bibliography"/>
        <w:rPr/>
      </w:pPr>
      <w:bookmarkStart w:id="47"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7"/>
    </w:p>
    <w:p>
      <w:pPr>
        <w:pStyle w:val="Bibliography"/>
        <w:rPr/>
      </w:pPr>
      <w:bookmarkStart w:id="48"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8"/>
    </w:p>
    <w:p>
      <w:pPr>
        <w:pStyle w:val="Bibliography"/>
        <w:rPr/>
      </w:pPr>
      <w:bookmarkStart w:id="49" w:name="ref-martins_custosmanutencaoses_2024"/>
      <w:r>
        <w:rPr/>
        <w:t xml:space="preserve">MARTINS, Rafael Fernando Batista; ESPEJO, Márcia Maria dos Santos Bortolocci. </w:t>
      </w:r>
      <w:hyperlink r:id="rId30">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49"/>
    </w:p>
    <w:p>
      <w:pPr>
        <w:pStyle w:val="Bibliography"/>
        <w:rPr/>
      </w:pPr>
      <w:bookmarkStart w:id="50" w:name="ref-masmoudi_ahptopsis_2026"/>
      <w:r>
        <w:rPr/>
        <w:t xml:space="preserve">MASMOUDI, Malek </w:t>
      </w:r>
      <w:r>
        <w:rPr>
          <w:i/>
          <w:iCs/>
        </w:rPr>
        <w:t>et al.</w:t>
      </w:r>
      <w:r>
        <w:rPr/>
        <w:t xml:space="preserve"> </w:t>
      </w:r>
      <w:hyperlink r:id="rId31">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0"/>
    </w:p>
    <w:p>
      <w:pPr>
        <w:pStyle w:val="Bibliography"/>
        <w:rPr/>
      </w:pPr>
      <w:bookmarkStart w:id="51" w:name="ref-morais_eficienciamanutencao_2023"/>
      <w:r>
        <w:rPr/>
        <w:t xml:space="preserve">MORAIS, Lucas Salomão Rael de; PAULA, Heber Martins de; REIS, Ricardo Prado Abreu. </w:t>
      </w:r>
      <w:hyperlink r:id="rId32">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1"/>
    </w:p>
    <w:p>
      <w:pPr>
        <w:pStyle w:val="Bibliography"/>
        <w:rPr/>
      </w:pPr>
      <w:bookmarkStart w:id="52" w:name="ref-motuziene_ventilacaoia_2025"/>
      <w:r>
        <w:rPr/>
        <w:t xml:space="preserve">MOTUZIENĖ, Violeta </w:t>
      </w:r>
      <w:r>
        <w:rPr>
          <w:i/>
          <w:iCs/>
        </w:rPr>
        <w:t>et al.</w:t>
      </w:r>
      <w:r>
        <w:rPr/>
        <w:t xml:space="preserve"> </w:t>
      </w:r>
      <w:hyperlink r:id="rId33">
        <w:r>
          <w:rPr>
            <w:rStyle w:val="Hyperlink"/>
          </w:rPr>
          <w:t>Occupancy-Based Predictive AI-Driven Ventilation Control for Energy Savings in Office Buildings</w:t>
        </w:r>
      </w:hyperlink>
      <w:r>
        <w:rPr/>
        <w:t xml:space="preserve">. </w:t>
      </w:r>
      <w:r>
        <w:rPr>
          <w:b/>
          <w:bCs/>
        </w:rPr>
        <w:t>Sustainability</w:t>
      </w:r>
      <w:r>
        <w:rPr/>
        <w:t>, v. 17, n. 9, p. 4140, 2025.</w:t>
      </w:r>
      <w:bookmarkEnd w:id="52"/>
    </w:p>
    <w:p>
      <w:pPr>
        <w:pStyle w:val="Bibliography"/>
        <w:rPr/>
      </w:pPr>
      <w:bookmarkStart w:id="53" w:name="ref-nageli_ciclovida_2019"/>
      <w:r>
        <w:rPr/>
        <w:t xml:space="preserve">NÄGELI, Claudio </w:t>
      </w:r>
      <w:r>
        <w:rPr>
          <w:i/>
          <w:iCs/>
        </w:rPr>
        <w:t>et al.</w:t>
      </w:r>
      <w:r>
        <w:rPr/>
        <w:t xml:space="preserve"> </w:t>
      </w:r>
      <w:hyperlink r:id="rId34">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3"/>
    </w:p>
    <w:p>
      <w:pPr>
        <w:pStyle w:val="Bibliography"/>
        <w:rPr/>
      </w:pPr>
      <w:bookmarkStart w:id="54" w:name="ref-naji_campusdelphi_2023"/>
      <w:r>
        <w:rPr/>
        <w:t xml:space="preserve">NAJI, Khalid K.; GUNDUZ, Murat; MAKI, Omar. </w:t>
      </w:r>
      <w:hyperlink r:id="rId35">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4"/>
    </w:p>
    <w:p>
      <w:pPr>
        <w:pStyle w:val="Bibliography"/>
        <w:rPr/>
      </w:pPr>
      <w:bookmarkStart w:id="55" w:name="X29a0b815a0fa8c82998c6fb0764f2ef94fd929e"/>
      <w:r>
        <w:rPr/>
        <w:t xml:space="preserve">NDUKUBA, Samuel Nnadoziem. </w:t>
      </w:r>
      <w:hyperlink r:id="rId36">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5"/>
    </w:p>
    <w:p>
      <w:pPr>
        <w:pStyle w:val="Bibliography"/>
        <w:rPr/>
      </w:pPr>
      <w:bookmarkStart w:id="56" w:name="ref-nielsen_sustentabilidadefm_2016"/>
      <w:r>
        <w:rPr/>
        <w:t xml:space="preserve">NIELSEN, Susanne Balslev; SARASOJA, Anna-Liisa; GALAMBA, Kirsten Ramskov. </w:t>
      </w:r>
      <w:hyperlink r:id="rId37">
        <w:r>
          <w:rPr>
            <w:rStyle w:val="Hyperlink"/>
          </w:rPr>
          <w:t>Sustainability in facilities management: an overview of current research</w:t>
        </w:r>
      </w:hyperlink>
      <w:r>
        <w:rPr/>
        <w:t xml:space="preserve">. </w:t>
      </w:r>
      <w:r>
        <w:rPr>
          <w:b/>
          <w:bCs/>
        </w:rPr>
        <w:t>Facilities</w:t>
      </w:r>
      <w:r>
        <w:rPr/>
        <w:t>, v. 34, n. 9-10, p. 535–563, 2016.</w:t>
      </w:r>
      <w:bookmarkEnd w:id="56"/>
    </w:p>
    <w:p>
      <w:pPr>
        <w:pStyle w:val="Bibliography"/>
        <w:rPr/>
      </w:pPr>
      <w:bookmarkStart w:id="57" w:name="ref-okoro_sustainablefm_2023"/>
      <w:r>
        <w:rPr/>
        <w:t xml:space="preserve">OKORO, Chioma Sylvia. </w:t>
      </w:r>
      <w:hyperlink r:id="rId38">
        <w:r>
          <w:rPr>
            <w:rStyle w:val="Hyperlink"/>
          </w:rPr>
          <w:t>Sustainable facilities management in the built environment: a mixed-method review</w:t>
        </w:r>
      </w:hyperlink>
      <w:r>
        <w:rPr/>
        <w:t xml:space="preserve">. </w:t>
      </w:r>
      <w:r>
        <w:rPr>
          <w:b/>
          <w:bCs/>
        </w:rPr>
        <w:t>Sustainability</w:t>
      </w:r>
      <w:r>
        <w:rPr/>
        <w:t>, v. 15, n. 4, p. 3174, 2023.</w:t>
      </w:r>
      <w:bookmarkEnd w:id="57"/>
    </w:p>
    <w:p>
      <w:pPr>
        <w:pStyle w:val="Bibliography"/>
        <w:rPr/>
      </w:pPr>
      <w:bookmarkStart w:id="58" w:name="ref-opoku_futurofm_2022"/>
      <w:r>
        <w:rPr/>
        <w:t xml:space="preserve">OPOKU, Alex; LEE, Jeoung Yul. </w:t>
      </w:r>
      <w:hyperlink r:id="rId39">
        <w:r>
          <w:rPr>
            <w:rStyle w:val="Hyperlink"/>
          </w:rPr>
          <w:t>The future of facilities management: managing facilities for sustainable development</w:t>
        </w:r>
      </w:hyperlink>
      <w:r>
        <w:rPr/>
        <w:t xml:space="preserve">. </w:t>
      </w:r>
      <w:r>
        <w:rPr>
          <w:b/>
          <w:bCs/>
        </w:rPr>
        <w:t>Sustainability</w:t>
      </w:r>
      <w:r>
        <w:rPr/>
        <w:t>, v. 14, n. 3, p. 1705, 2022.</w:t>
      </w:r>
      <w:bookmarkEnd w:id="58"/>
    </w:p>
    <w:p>
      <w:pPr>
        <w:pStyle w:val="Bibliography"/>
        <w:rPr/>
      </w:pPr>
      <w:bookmarkStart w:id="59" w:name="ref-othman_manutenibilidadeesi_2023"/>
      <w:r>
        <w:rPr/>
        <w:t xml:space="preserve">OTHMAN, Ayman Ahmed Ezzat; KAMAL, Ahmed. </w:t>
      </w:r>
      <w:hyperlink r:id="rId40">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59"/>
    </w:p>
    <w:p>
      <w:pPr>
        <w:pStyle w:val="Bibliography"/>
        <w:rPr/>
      </w:pPr>
      <w:bookmarkStart w:id="60" w:name="ref-park_cbrfuzzyahp_2019"/>
      <w:r>
        <w:rPr/>
        <w:t xml:space="preserve">PARK, Sojin; KWON, Nahyun; AHN, Yonghan. </w:t>
      </w:r>
      <w:hyperlink r:id="rId41">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0"/>
    </w:p>
    <w:p>
      <w:pPr>
        <w:pStyle w:val="Bibliography"/>
        <w:rPr/>
      </w:pPr>
      <w:bookmarkStart w:id="61" w:name="ref-ramantswana_esgfm_2026"/>
      <w:r>
        <w:rPr/>
        <w:t xml:space="preserve">RAMANTSWANA, Thabelo </w:t>
      </w:r>
      <w:r>
        <w:rPr>
          <w:i/>
          <w:iCs/>
        </w:rPr>
        <w:t>et al.</w:t>
      </w:r>
      <w:r>
        <w:rPr/>
        <w:t xml:space="preserve"> </w:t>
      </w:r>
      <w:hyperlink r:id="rId42">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1"/>
    </w:p>
    <w:p>
      <w:pPr>
        <w:pStyle w:val="Bibliography"/>
        <w:rPr/>
      </w:pPr>
      <w:bookmarkStart w:id="62" w:name="ref-rathbone_deduplicacao_2015"/>
      <w:r>
        <w:rPr/>
        <w:t xml:space="preserve">RATHBONE, John </w:t>
      </w:r>
      <w:r>
        <w:rPr>
          <w:i/>
          <w:iCs/>
        </w:rPr>
        <w:t>et al.</w:t>
      </w:r>
      <w:r>
        <w:rPr/>
        <w:t xml:space="preserve"> </w:t>
      </w:r>
      <w:hyperlink r:id="rId43">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2"/>
    </w:p>
    <w:p>
      <w:pPr>
        <w:pStyle w:val="Bibliography"/>
        <w:rPr/>
      </w:pPr>
      <w:bookmarkStart w:id="63" w:name="ref-snyder_revisaometodologia_2019"/>
      <w:r>
        <w:rPr/>
        <w:t xml:space="preserve">SNYDER, Hannah. </w:t>
      </w:r>
      <w:hyperlink r:id="rId44">
        <w:r>
          <w:rPr>
            <w:rStyle w:val="Hyperlink"/>
          </w:rPr>
          <w:t>Literature review as a research methodology: an overview and guidelines</w:t>
        </w:r>
      </w:hyperlink>
      <w:r>
        <w:rPr/>
        <w:t xml:space="preserve">. </w:t>
      </w:r>
      <w:r>
        <w:rPr>
          <w:b/>
          <w:bCs/>
        </w:rPr>
        <w:t>Journal of Business Research</w:t>
      </w:r>
      <w:r>
        <w:rPr/>
        <w:t>, v. 104, p. 333–339, 2019.</w:t>
      </w:r>
      <w:bookmarkEnd w:id="63"/>
    </w:p>
    <w:p>
      <w:pPr>
        <w:pStyle w:val="Bibliography"/>
        <w:rPr/>
      </w:pPr>
      <w:bookmarkStart w:id="64" w:name="ref-suh_demandaenergiaagua_2012"/>
      <w:r>
        <w:rPr/>
        <w:t xml:space="preserve">SUH, Dongjun; CHANG, Seongju. </w:t>
      </w:r>
      <w:hyperlink r:id="rId45">
        <w:r>
          <w:rPr>
            <w:rStyle w:val="Hyperlink"/>
          </w:rPr>
          <w:t>An Energy and Water Resource Demand Estimation Model for Multi-Family Housing Complexes in Korea</w:t>
        </w:r>
      </w:hyperlink>
      <w:r>
        <w:rPr/>
        <w:t xml:space="preserve">. </w:t>
      </w:r>
      <w:r>
        <w:rPr>
          <w:b/>
          <w:bCs/>
        </w:rPr>
        <w:t>Energies</w:t>
      </w:r>
      <w:r>
        <w:rPr/>
        <w:t>, v. 5, n. 11, p. 4497–4516, 2012.</w:t>
      </w:r>
      <w:bookmarkEnd w:id="64"/>
    </w:p>
    <w:p>
      <w:pPr>
        <w:pStyle w:val="Bibliography"/>
        <w:rPr/>
      </w:pPr>
      <w:bookmarkStart w:id="65" w:name="ref-talib_hospitalfm_2013"/>
      <w:r>
        <w:rPr/>
        <w:t xml:space="preserve">TALIB, Yuhainis; RAJAGOPALAN, Priyadarsini; YANG, Jay. </w:t>
      </w:r>
      <w:hyperlink r:id="rId46">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5"/>
    </w:p>
    <w:p>
      <w:pPr>
        <w:pStyle w:val="Bibliography"/>
        <w:rPr/>
      </w:pPr>
      <w:bookmarkStart w:id="66" w:name="ref-tan_fluxoinformacao_2018"/>
      <w:r>
        <w:rPr/>
        <w:t xml:space="preserve">TAN, Adeline Zhu Teng; ZAMAN, Atiq Uz; SUTRISNA, Monty. </w:t>
      </w:r>
      <w:hyperlink r:id="rId47">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6"/>
    </w:p>
    <w:p>
      <w:pPr>
        <w:pStyle w:val="Bibliography"/>
        <w:rPr/>
      </w:pPr>
      <w:bookmarkStart w:id="67" w:name="ref-whittemore_revisaointegrativa_2005"/>
      <w:r>
        <w:rPr/>
        <w:t xml:space="preserve">WHITTEMORE, Robin; KNAFL, Kathleen. </w:t>
      </w:r>
      <w:hyperlink r:id="rId48">
        <w:r>
          <w:rPr>
            <w:rStyle w:val="Hyperlink"/>
          </w:rPr>
          <w:t>The integrative review: updated methodology</w:t>
        </w:r>
      </w:hyperlink>
      <w:r>
        <w:rPr/>
        <w:t xml:space="preserve">. </w:t>
      </w:r>
      <w:r>
        <w:rPr>
          <w:b/>
          <w:bCs/>
        </w:rPr>
        <w:t>Journal of Advanced Nursing</w:t>
      </w:r>
      <w:r>
        <w:rPr/>
        <w:t>, v. 52, n. 5, p. 546–553, 2005.</w:t>
      </w:r>
      <w:bookmarkEnd w:id="67"/>
    </w:p>
    <w:p>
      <w:pPr>
        <w:pStyle w:val="Bibliography"/>
        <w:rPr/>
      </w:pPr>
      <w:bookmarkStart w:id="68" w:name="ref-wu_gnnvidautil_2025"/>
      <w:r>
        <w:rPr/>
        <w:t xml:space="preserve">WU, Pei-Yu; MUNDT-PETERSEN, S. Olof. </w:t>
      </w:r>
      <w:hyperlink r:id="rId49">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68"/>
    </w:p>
    <w:p>
      <w:pPr>
        <w:pStyle w:val="Bibliography"/>
        <w:spacing w:before="0" w:after="200"/>
        <w:rPr/>
      </w:pPr>
      <w:bookmarkStart w:id="69" w:name="ref-yoon_fuzzyfm_2018"/>
      <w:r>
        <w:rPr/>
        <w:t xml:space="preserve">YOON, Jong Han; CHA, Hee Sung. </w:t>
      </w:r>
      <w:hyperlink r:id="rId50">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69"/>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Consolas">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Times New Roman" w:hAnsi="Times New Roman" w:eastAsia="Times New Roman"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Times New Roman" w:hAnsi="Times New Roman" w:eastAsia="Times New Roman"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Times New Roman" w:hAnsi="Times New Roman" w:eastAsia="Times New Roman" w:cs="" w:asciiTheme="majorHAnsi" w:cstheme="majorBidi" w:eastAsiaTheme="majorEastAsia" w:hAnsiTheme="majorHAnsi"/>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Times New Roman" w:hAnsi="Times New Roman" w:eastAsia="Times New Roman"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Times New Roman" w:hAnsi="Times New Roman" w:eastAsia="Times New Roman"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eresdenotaderodap">
    <w:name w:val="Caracteres de nota de rodapé"/>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Ttulo">
    <w:name w:val="Título"/>
    <w:basedOn w:val="Normal"/>
    <w:next w:val="BodyText"/>
    <w:qFormat/>
    <w:pPr>
      <w:keepNext w:val="true"/>
      <w:spacing w:before="240" w:after="120"/>
    </w:pPr>
    <w:rPr>
      <w:rFonts w:ascii="Times New Roman" w:hAnsi="Times New Roman" w:eastAsia="Times New Roman"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ndice">
    <w:name w:val="Índice"/>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Times New Roman" w:hAnsi="Times New Roman" w:eastAsia="Times New Roman"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a" w:customStyle="1">
    <w:name w:val="Figura"/>
    <w:basedOn w:val="Normal"/>
    <w:qFormat/>
    <w:pPr/>
    <w:rPr/>
  </w:style>
  <w:style w:type="paragraph" w:styleId="CaptionedFigure" w:customStyle="1">
    <w:name w:val="Captioned Figure"/>
    <w:basedOn w:val="Figura"/>
    <w:qFormat/>
    <w:pPr>
      <w:keepNext w:val="true"/>
    </w:pPr>
    <w:rPr/>
  </w:style>
  <w:style w:type="paragraph" w:styleId="IndexHeading">
    <w:name w:val="index heading"/>
    <w:basedOn w:val="Ttulo"/>
    <w:pPr/>
    <w:rPr/>
  </w:style>
  <w:style w:type="paragraph" w:styleId="TOCHeading">
    <w:name w:val="TOC Heading"/>
    <w:basedOn w:val="Heading1"/>
    <w:next w:val="BodyText"/>
    <w:uiPriority w:val="39"/>
    <w:unhideWhenUsed/>
    <w:qFormat/>
    <w:pPr>
      <w:spacing w:lineRule="auto" w:line="259" w:before="240" w:after="8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doi.org/10.1108/IJLSS-09-2015-0035" TargetMode="External"/><Relationship Id="rId12" Type="http://schemas.openxmlformats.org/officeDocument/2006/relationships/hyperlink" Target="https://doi.org/10.3390/su14169955" TargetMode="External"/><Relationship Id="rId13" Type="http://schemas.openxmlformats.org/officeDocument/2006/relationships/hyperlink" Target="https://doi.org/10.3389/frsus.2026.1751337" TargetMode="External"/><Relationship Id="rId14" Type="http://schemas.openxmlformats.org/officeDocument/2006/relationships/hyperlink" Target="https://doi.org/10.21315/jcdc.2025.30.2.6" TargetMode="External"/><Relationship Id="rId15" Type="http://schemas.openxmlformats.org/officeDocument/2006/relationships/hyperlink" Target="https://doi.org/10.18607/ES201532557" TargetMode="External"/><Relationship Id="rId16" Type="http://schemas.openxmlformats.org/officeDocument/2006/relationships/hyperlink" Target="https://doi.org/10.18820/24150487/as24i2.4" TargetMode="External"/><Relationship Id="rId17" Type="http://schemas.openxmlformats.org/officeDocument/2006/relationships/hyperlink" Target="https://doi.org/10.3895/gi.v16n3.8968" TargetMode="External"/><Relationship Id="rId18" Type="http://schemas.openxmlformats.org/officeDocument/2006/relationships/hyperlink" Target="https://doi.org/10.1108/SS-02-2016-0007" TargetMode="External"/><Relationship Id="rId19" Type="http://schemas.openxmlformats.org/officeDocument/2006/relationships/hyperlink" Target="https://doi.org/10.1108/F-09-2018-0107" TargetMode="External"/><Relationship Id="rId20" Type="http://schemas.openxmlformats.org/officeDocument/2006/relationships/hyperlink" Target="https://www.crossref.org/documentation/retrieve-metadata/rest-api/" TargetMode="External"/><Relationship Id="rId21" Type="http://schemas.openxmlformats.org/officeDocument/2006/relationships/hyperlink" Target="https://doi.org/10.3390/su172210313" TargetMode="External"/><Relationship Id="rId22" Type="http://schemas.openxmlformats.org/officeDocument/2006/relationships/hyperlink" Target="https://doi.org/10.36680/j.itcon.2021.005" TargetMode="External"/><Relationship Id="rId23" Type="http://schemas.openxmlformats.org/officeDocument/2006/relationships/hyperlink" Target="https://doi.org/10.1016/j.jbusres.2021.04.070" TargetMode="External"/><Relationship Id="rId24" Type="http://schemas.openxmlformats.org/officeDocument/2006/relationships/hyperlink" Target="https://doi.org/10.1108/SASBE-07-2023-0170" TargetMode="External"/><Relationship Id="rId25" Type="http://schemas.openxmlformats.org/officeDocument/2006/relationships/hyperlink" Target="https://doi.org/10.1080/15732479.2019.1652657" TargetMode="External"/><Relationship Id="rId26" Type="http://schemas.openxmlformats.org/officeDocument/2006/relationships/hyperlink" Target="https://doi.org/10.1051/e3sconf/202342901002" TargetMode="External"/><Relationship Id="rId27" Type="http://schemas.openxmlformats.org/officeDocument/2006/relationships/hyperlink" Target="https://doi.org/10.3758/s13428-026-02961-x" TargetMode="External"/><Relationship Id="rId28" Type="http://schemas.openxmlformats.org/officeDocument/2006/relationships/hyperlink" Target="https://doi.org/10.1093/database/bat086" TargetMode="External"/><Relationship Id="rId29" Type="http://schemas.openxmlformats.org/officeDocument/2006/relationships/hyperlink" Target="https://doi.org/10.3130/jaabe.17.307" TargetMode="External"/><Relationship Id="rId30" Type="http://schemas.openxmlformats.org/officeDocument/2006/relationships/hyperlink" Target="https://doi.org/10.47179/abcustos.v19i1.719" TargetMode="External"/><Relationship Id="rId31" Type="http://schemas.openxmlformats.org/officeDocument/2006/relationships/hyperlink" Target="https://doi.org/10.1111/itor.70022" TargetMode="External"/><Relationship Id="rId32" Type="http://schemas.openxmlformats.org/officeDocument/2006/relationships/hyperlink" Target="https://doi.org/10.18830/issn.1679-0944.n34.2023.08" TargetMode="External"/><Relationship Id="rId33" Type="http://schemas.openxmlformats.org/officeDocument/2006/relationships/hyperlink" Target="https://doi.org/10.3390/su17094140" TargetMode="External"/><Relationship Id="rId34" Type="http://schemas.openxmlformats.org/officeDocument/2006/relationships/hyperlink" Target="https://doi.org/10.1016/j.buildenv.2019.106212" TargetMode="External"/><Relationship Id="rId35" Type="http://schemas.openxmlformats.org/officeDocument/2006/relationships/hyperlink" Target="https://doi.org/10.1061/JCEMD4.COENG-13154" TargetMode="External"/><Relationship Id="rId36" Type="http://schemas.openxmlformats.org/officeDocument/2006/relationships/hyperlink" Target="https://doi.org/10.56065/pdpyke84" TargetMode="External"/><Relationship Id="rId37" Type="http://schemas.openxmlformats.org/officeDocument/2006/relationships/hyperlink" Target="https://doi.org/10.1108/F-07-2014-0060" TargetMode="External"/><Relationship Id="rId38" Type="http://schemas.openxmlformats.org/officeDocument/2006/relationships/hyperlink" Target="https://doi.org/10.3390/su15043174" TargetMode="External"/><Relationship Id="rId39" Type="http://schemas.openxmlformats.org/officeDocument/2006/relationships/hyperlink" Target="https://doi.org/10.3390/su14031705" TargetMode="External"/><Relationship Id="rId40" Type="http://schemas.openxmlformats.org/officeDocument/2006/relationships/hyperlink" Target="https://doi.org/10.2478/otmcj-2023-0005" TargetMode="External"/><Relationship Id="rId41" Type="http://schemas.openxmlformats.org/officeDocument/2006/relationships/hyperlink" Target="https://doi.org/10.3390/su11247181" TargetMode="External"/><Relationship Id="rId42" Type="http://schemas.openxmlformats.org/officeDocument/2006/relationships/hyperlink" Target="https://doi.org/10.1108/IJBPA-07-2025-0169" TargetMode="External"/><Relationship Id="rId43" Type="http://schemas.openxmlformats.org/officeDocument/2006/relationships/hyperlink" Target="https://doi.org/10.1186/2046-4053-4-6" TargetMode="External"/><Relationship Id="rId44" Type="http://schemas.openxmlformats.org/officeDocument/2006/relationships/hyperlink" Target="https://doi.org/10.1016/j.jbusres.2019.07.039" TargetMode="External"/><Relationship Id="rId45" Type="http://schemas.openxmlformats.org/officeDocument/2006/relationships/hyperlink" Target="https://doi.org/10.3390/en5114497" TargetMode="External"/><Relationship Id="rId46" Type="http://schemas.openxmlformats.org/officeDocument/2006/relationships/hyperlink" Target="https://doi.org/10.1108/F-06-2012-0042" TargetMode="External"/><Relationship Id="rId47" Type="http://schemas.openxmlformats.org/officeDocument/2006/relationships/hyperlink" Target="https://doi.org/10.1108/F-03-2016-0028" TargetMode="External"/><Relationship Id="rId48" Type="http://schemas.openxmlformats.org/officeDocument/2006/relationships/hyperlink" Target="https://doi.org/10.1111/j.1365-2648.2005.03621.x" TargetMode="External"/><Relationship Id="rId49" Type="http://schemas.openxmlformats.org/officeDocument/2006/relationships/hyperlink" Target="https://doi.org/10.1088/1755-1315/1554/1/012036" TargetMode="External"/><Relationship Id="rId50" Type="http://schemas.openxmlformats.org/officeDocument/2006/relationships/hyperlink" Target="https://doi.org/10.1061/(ASCE)CF.1943-5509.0001176" TargetMode="Externa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LibreOffice/26.2.4.2$Windows_X86_64 LibreOffice_project/0229ac93fcf0d7cbc6376066c6f35021cef002dc</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2026-08-28T11:29:46Z</dcterms:created>
  <dc:creator>Adinailson Guimarães de Oliveira Programa de Pós-Graduação em Biossistemas Universidade Federal do Sul da Bahia (UFSB)</dc:creator>
  <dc:description/>
  <dc:language>pt-BR</dc:language>
  <cp:lastModifiedBy/>
  <dcterms:modified xsi:type="dcterms:W3CDTF">2026-08-28T11:29:46Z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