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6.pdf" ContentType="application/pdf"/>
  <Override PartName="/word/media/rId20.pdf" ContentType="application/pdf"/>
  <Override PartName="/word/media/rId24.pdf" ContentType="application/pdf"/>
  <Override PartName="/word/media/rId28.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 sustentável em edificações universitárias públicas: revisão bibliométrica e protocolo multicritério</w:t>
      </w:r>
    </w:p>
    <w:p>
      <w:pPr>
        <w:pStyle w:val="Author"/>
      </w:pPr>
      <w:r>
        <w:t xml:space="preserve">Adinailson Guimarães de Oliveira</w:t>
      </w:r>
      <w:r>
        <w:br/>
      </w:r>
      <w:r>
        <w:t xml:space="preserve">Programa de Pós-Graduação em Biossistemas</w:t>
      </w:r>
      <w:r>
        <w:br/>
      </w:r>
      <w:r>
        <w:t xml:space="preserve">Universidade Federal do Sul da Bahia (UFSB)</w:t>
      </w:r>
    </w:p>
    <w:p>
      <w:pPr>
        <w:pStyle w:val="FirstParagraph"/>
      </w:pPr>
      <w:r>
        <w:rPr>
          <w:b/>
          <w:bCs/>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
          <w:iCs/>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
          <w:bCs/>
        </w:rPr>
        <w:t xml:space="preserve">Palavras-chave:</w:t>
      </w:r>
      <w:r>
        <w:t xml:space="preserve"> </w:t>
      </w:r>
      <w:r>
        <w:t xml:space="preserve">manutenção predial; sustentabilidade; métodos multicritério de decisão; gestão de edificações públicas; bibliometria.</w:t>
      </w:r>
    </w:p>
    <w:p>
      <w:pPr>
        <w:pStyle w:val="BodyText"/>
      </w:pPr>
      <w:r>
        <w:rPr>
          <w:b/>
          <w:bCs/>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
          <w:bCs/>
        </w:rPr>
        <w:t xml:space="preserve">Keywords:</w:t>
      </w:r>
      <w:r>
        <w:t xml:space="preserve"> </w:t>
      </w:r>
      <w:r>
        <w:t xml:space="preserve">building maintenance; sustainability; multi-criteria decision-making; public building management; bibliometrics.</w:t>
      </w:r>
    </w:p>
    <w:bookmarkStart w:id="9"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et al.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
          <w:iCs/>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et al.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
          <w:iCs/>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9"/>
    <w:bookmarkStart w:id="10"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et al.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
          <w:iCs/>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
          <w:iCs/>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et al.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
          <w:iCs/>
        </w:rPr>
        <w:t xml:space="preserve">campus</w:t>
      </w:r>
      <w:r>
        <w:t xml:space="preserve"> </w:t>
      </w:r>
      <w:r>
        <w:t xml:space="preserve">confirmam a utilidade dessas abordagens</w:t>
      </w:r>
      <w:r>
        <w:t xml:space="preserve"> </w:t>
      </w:r>
      <w:r>
        <w:t xml:space="preserve">(Alfalah et al. 2022; Naji et al.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10"/>
    <w:bookmarkStart w:id="1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11"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
          <w:iCs/>
        </w:rPr>
        <w:t xml:space="preserve">multi-criteria decision-making</w:t>
      </w:r>
      <w:r>
        <w:t xml:space="preserve"> </w:t>
      </w:r>
      <w:r>
        <w:t xml:space="preserve">e MCDA,</w:t>
      </w:r>
      <w:r>
        <w:t xml:space="preserve"> </w:t>
      </w:r>
      <w:r>
        <w:rPr>
          <w:i/>
          <w:iCs/>
        </w:rPr>
        <w:t xml:space="preserve">multi-criteria decision analysis</w:t>
      </w:r>
      <w:r>
        <w:t xml:space="preserve">. Entre os métodos nomeados, AHP corresponde a</w:t>
      </w:r>
      <w:r>
        <w:t xml:space="preserve"> </w:t>
      </w:r>
      <w:r>
        <w:rPr>
          <w:i/>
          <w:iCs/>
        </w:rPr>
        <w:t xml:space="preserve">Analytic Hierarchy Process</w:t>
      </w:r>
      <w:r>
        <w:t xml:space="preserve">, TOPSIS a</w:t>
      </w:r>
      <w:r>
        <w:t xml:space="preserve"> </w:t>
      </w:r>
      <w:r>
        <w:rPr>
          <w:i/>
          <w:iCs/>
        </w:rPr>
        <w:t xml:space="preserve">Technique for Order Preference by Similarity to Ideal Solution</w:t>
      </w:r>
      <w:r>
        <w:t xml:space="preserve"> </w:t>
      </w:r>
      <w:r>
        <w:t xml:space="preserve">e ANP a</w:t>
      </w:r>
      <w:r>
        <w:t xml:space="preserve"> </w:t>
      </w:r>
      <w:r>
        <w:rPr>
          <w:i/>
          <w:iCs/>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11"/>
    <w:bookmarkStart w:id="12"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12"/>
    <w:bookmarkStart w:id="1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bookmarkStart w:id="13" w:name="fig:funil"/>
    <w:p>
      <w:pPr>
        <w:pStyle w:val="ImageCaption"/>
      </w:pPr>
      <w:r>
        <w:t xml:space="preserve">Fluxo de seleção do corpus</w:t>
      </w:r>
    </w:p>
    <w:bookmarkEnd w:id="13"/>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14"/>
    <w:bookmarkEnd w:id="15"/>
    <w:bookmarkStart w:id="32"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
          <w:iCs/>
        </w:rPr>
        <w:t xml:space="preserve">building information modeling</w:t>
      </w:r>
      <w:r>
        <w:t xml:space="preserve">,</w:t>
      </w:r>
      <w:r>
        <w:t xml:space="preserve"> </w:t>
      </w:r>
      <w:r>
        <w:rPr>
          <w:i/>
          <w:iCs/>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
          <w:iCs/>
        </w:rPr>
        <w:t xml:space="preserve">Energy and Buildings</w:t>
      </w:r>
      <w:r>
        <w:t xml:space="preserve"> </w:t>
      </w:r>
      <w:r>
        <w:t xml:space="preserve">apresentou 18 registros, seguida por</w:t>
      </w:r>
      <w:r>
        <w:t xml:space="preserve"> </w:t>
      </w:r>
      <w:r>
        <w:rPr>
          <w:i/>
          <w:iCs/>
        </w:rPr>
        <w:t xml:space="preserve">Journal of Building Engineering</w:t>
      </w:r>
      <w:r>
        <w:t xml:space="preserve"> </w:t>
      </w:r>
      <w:r>
        <w:t xml:space="preserve">(15),</w:t>
      </w:r>
      <w:r>
        <w:t xml:space="preserve"> </w:t>
      </w:r>
      <w:r>
        <w:rPr>
          <w:i/>
          <w:iCs/>
        </w:rPr>
        <w:t xml:space="preserve">Facilities</w:t>
      </w:r>
      <w:r>
        <w:t xml:space="preserve"> </w:t>
      </w:r>
      <w:r>
        <w:t xml:space="preserve">(14),</w:t>
      </w:r>
      <w:r>
        <w:t xml:space="preserve"> </w:t>
      </w:r>
      <w:r>
        <w:rPr>
          <w:i/>
          <w:iCs/>
        </w:rPr>
        <w:t xml:space="preserve">Lecture Notes in Civil Engineering</w:t>
      </w:r>
      <w:r>
        <w:t xml:space="preserve"> </w:t>
      </w:r>
      <w:r>
        <w:t xml:space="preserve">(11),</w:t>
      </w:r>
      <w:r>
        <w:t xml:space="preserve"> </w:t>
      </w:r>
      <w:r>
        <w:rPr>
          <w:i/>
          <w:iCs/>
        </w:rPr>
        <w:t xml:space="preserve">IOP Conference Series: Earth and Environmental Science</w:t>
      </w:r>
      <w:r>
        <w:t xml:space="preserve"> </w:t>
      </w:r>
      <w:r>
        <w:t xml:space="preserve">(10) e</w:t>
      </w:r>
      <w:r>
        <w:t xml:space="preserve"> </w:t>
      </w:r>
      <w:r>
        <w:rPr>
          <w:i/>
          <w:iCs/>
        </w:rPr>
        <w:t xml:space="preserve">Sustainability</w:t>
      </w:r>
      <w:r>
        <w:t xml:space="preserve"> </w:t>
      </w:r>
      <w:r>
        <w:t xml:space="preserve">(10). A presença simultânea de periódicos de energia, engenharia de edificações, gestão de facilidades e sustentabilidade confirma a natureza interdisciplinar do campo.</w:t>
      </w:r>
    </w:p>
    <w:bookmarkStart w:id="19" w:name="fig:fontes372"/>
    <w:p>
      <w:pPr>
        <w:pStyle w:val="CaptionedFigure"/>
      </w:pPr>
      <w:r>
        <w:drawing>
          <wp:inline>
            <wp:extent cx="5227320" cy="3425077"/>
            <wp:effectExtent b="0" l="0" r="0" t="0"/>
            <wp:docPr descr="" title="" id="17" name="Picture"/>
            <a:graphic>
              <a:graphicData uri="http://schemas.openxmlformats.org/drawingml/2006/picture">
                <pic:pic>
                  <pic:nvPicPr>
                    <pic:cNvPr descr="figuras/figura_fontes_relevantes_372.pdf" id="18" name="Picture"/>
                    <pic:cNvPicPr>
                      <a:picLocks noChangeArrowheads="1" noChangeAspect="1"/>
                    </pic:cNvPicPr>
                  </pic:nvPicPr>
                  <pic:blipFill>
                    <a:blip r:embed="rId16"/>
                    <a:stretch>
                      <a:fillRect/>
                    </a:stretch>
                  </pic:blipFill>
                  <pic:spPr bwMode="auto">
                    <a:xfrm>
                      <a:off x="0" y="0"/>
                      <a:ext cx="5227320" cy="3425077"/>
                    </a:xfrm>
                    <a:prstGeom prst="rect">
                      <a:avLst/>
                    </a:prstGeom>
                    <a:noFill/>
                    <a:ln w="9525">
                      <a:noFill/>
                      <a:headEnd/>
                      <a:tailEnd/>
                    </a:ln>
                  </pic:spPr>
                </pic:pic>
              </a:graphicData>
            </a:graphic>
          </wp:inline>
        </w:drawing>
      </w:r>
    </w:p>
    <w:p>
      <w:pPr>
        <w:pStyle w:val="ImageCaption"/>
      </w:pPr>
      <w:r>
        <w:t xml:space="preserve">Fontes mais frequentes no corpus bibliométrico ampliado</w:t>
      </w:r>
    </w:p>
    <w:bookmarkEnd w:id="19"/>
    <w:p>
      <w:pPr>
        <w:pStyle w:val="BodyText"/>
      </w:pPr>
      <w:r>
        <w:t xml:space="preserve">O mapa temático identificou dois eixos de maior centralidade. O primeiro articulou BIM, desempenho da edificação e</w:t>
      </w:r>
      <w:r>
        <w:t xml:space="preserve"> </w:t>
      </w:r>
      <w:r>
        <w:rPr>
          <w:i/>
          <w:iCs/>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bookmarkStart w:id="23" w:name="fig:mapatematico372"/>
    <w:p>
      <w:pPr>
        <w:pStyle w:val="CaptionedFigure"/>
      </w:pPr>
      <w:r>
        <w:drawing>
          <wp:inline>
            <wp:extent cx="5227320" cy="3595418"/>
            <wp:effectExtent b="0" l="0" r="0" t="0"/>
            <wp:docPr descr="" title="" id="21" name="Picture"/>
            <a:graphic>
              <a:graphicData uri="http://schemas.openxmlformats.org/drawingml/2006/picture">
                <pic:pic>
                  <pic:nvPicPr>
                    <pic:cNvPr descr="figuras/figura_mapa_tematico_372.pdf" id="22" name="Picture"/>
                    <pic:cNvPicPr>
                      <a:picLocks noChangeArrowheads="1" noChangeAspect="1"/>
                    </pic:cNvPicPr>
                  </pic:nvPicPr>
                  <pic:blipFill>
                    <a:blip r:embed="rId20"/>
                    <a:stretch>
                      <a:fillRect/>
                    </a:stretch>
                  </pic:blipFill>
                  <pic:spPr bwMode="auto">
                    <a:xfrm>
                      <a:off x="0" y="0"/>
                      <a:ext cx="5227320" cy="3595418"/>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bookmarkEnd w:id="23"/>
    <w:p>
      <w:pPr>
        <w:pStyle w:val="BodyText"/>
      </w:pPr>
      <w:r>
        <w:t xml:space="preserve">A rede normalizada reforçou a posição de BIM e gestão de facilidades como elementos de conexão. BIM apareceu associado a gestão de facilidades,</w:t>
      </w:r>
      <w:r>
        <w:t xml:space="preserve"> </w:t>
      </w:r>
      <w:r>
        <w:rPr>
          <w:i/>
          <w:iCs/>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bookmarkStart w:id="27" w:name="fig:redecor372"/>
    <w:p>
      <w:pPr>
        <w:pStyle w:val="CaptionedFigure"/>
      </w:pPr>
      <w:r>
        <w:drawing>
          <wp:inline>
            <wp:extent cx="5227320" cy="4194566"/>
            <wp:effectExtent b="0" l="0" r="0" t="0"/>
            <wp:docPr descr="" title="" id="25" name="Picture"/>
            <a:graphic>
              <a:graphicData uri="http://schemas.openxmlformats.org/drawingml/2006/picture">
                <pic:pic>
                  <pic:nvPicPr>
                    <pic:cNvPr descr="figuras/figura_rede_coocorrencia_372.pdf" id="26" name="Picture"/>
                    <pic:cNvPicPr>
                      <a:picLocks noChangeArrowheads="1" noChangeAspect="1"/>
                    </pic:cNvPicPr>
                  </pic:nvPicPr>
                  <pic:blipFill>
                    <a:blip r:embed="rId24"/>
                    <a:stretch>
                      <a:fillRect/>
                    </a:stretch>
                  </pic:blipFill>
                  <pic:spPr bwMode="auto">
                    <a:xfrm>
                      <a:off x="0" y="0"/>
                      <a:ext cx="5227320" cy="4194566"/>
                    </a:xfrm>
                    <a:prstGeom prst="rect">
                      <a:avLst/>
                    </a:prstGeom>
                    <a:noFill/>
                    <a:ln w="9525">
                      <a:noFill/>
                      <a:headEnd/>
                      <a:tailEnd/>
                    </a:ln>
                  </pic:spPr>
                </pic:pic>
              </a:graphicData>
            </a:graphic>
          </wp:inline>
        </w:drawing>
      </w:r>
    </w:p>
    <w:p>
      <w:pPr>
        <w:pStyle w:val="ImageCaption"/>
      </w:pPr>
      <w:r>
        <w:t xml:space="preserve">Rede normalizada de coocorrência de palavras-chave</w:t>
      </w:r>
    </w:p>
    <w:bookmarkEnd w:id="27"/>
    <w:p>
      <w:pPr>
        <w:pStyle w:val="BodyText"/>
      </w:pPr>
      <w:r>
        <w:t xml:space="preserve">A comparação temporal mostra mudança do vocabulário do campo. A participação de BIM aumentou 7,3 pontos percentuais entre os dois períodos, enquanto</w:t>
      </w:r>
      <w:r>
        <w:t xml:space="preserve"> </w:t>
      </w:r>
      <w:r>
        <w:rPr>
          <w:i/>
          <w:iCs/>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bookmarkStart w:id="31" w:name="fig:evolucaotematica372"/>
    <w:p>
      <w:pPr>
        <w:pStyle w:val="CaptionedFigure"/>
      </w:pPr>
      <w:r>
        <w:drawing>
          <wp:inline>
            <wp:extent cx="5227320" cy="4161465"/>
            <wp:effectExtent b="0" l="0" r="0" t="0"/>
            <wp:docPr descr="" title="" id="29" name="Picture"/>
            <a:graphic>
              <a:graphicData uri="http://schemas.openxmlformats.org/drawingml/2006/picture">
                <pic:pic>
                  <pic:nvPicPr>
                    <pic:cNvPr descr="figuras/figura_evolucao_tematica_372.pdf" id="30" name="Picture"/>
                    <pic:cNvPicPr>
                      <a:picLocks noChangeArrowheads="1" noChangeAspect="1"/>
                    </pic:cNvPicPr>
                  </pic:nvPicPr>
                  <pic:blipFill>
                    <a:blip r:embed="rId28"/>
                    <a:stretch>
                      <a:fillRect/>
                    </a:stretch>
                  </pic:blipFill>
                  <pic:spPr bwMode="auto">
                    <a:xfrm>
                      <a:off x="0" y="0"/>
                      <a:ext cx="5227320" cy="4161465"/>
                    </a:xfrm>
                    <a:prstGeom prst="rect">
                      <a:avLst/>
                    </a:prstGeom>
                    <a:noFill/>
                    <a:ln w="9525">
                      <a:noFill/>
                      <a:headEnd/>
                      <a:tailEnd/>
                    </a:ln>
                  </pic:spPr>
                </pic:pic>
              </a:graphicData>
            </a:graphic>
          </wp:inline>
        </w:drawing>
      </w:r>
    </w:p>
    <w:p>
      <w:pPr>
        <w:pStyle w:val="ImageCaption"/>
      </w:pPr>
      <w:r>
        <w:t xml:space="preserve">Evolução das palavras-chave entre 2010–2020 e 2021–2026</w:t>
      </w:r>
    </w:p>
    <w:bookmarkEnd w:id="31"/>
    <w:p>
      <w:pPr>
        <w:pStyle w:val="BodyText"/>
      </w:pPr>
      <w:r>
        <w:t xml:space="preserve">Em conjunto, a camada bibliométrica mostra transição de um vocabulário concentrado em eficiência, desempenho e edificações verdes para outro mais conectado a BIM,</w:t>
      </w:r>
      <w:r>
        <w:t xml:space="preserve"> </w:t>
      </w:r>
      <w:r>
        <w:rPr>
          <w:i/>
          <w:iCs/>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2"/>
    <w:bookmarkStart w:id="37"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bookmarkStart w:id="36" w:name="fig:temporal"/>
    <w:p>
      <w:pPr>
        <w:pStyle w:val="CaptionedFigure"/>
      </w:pPr>
      <w:r>
        <w:drawing>
          <wp:inline>
            <wp:extent cx="4800600" cy="2800350"/>
            <wp:effectExtent b="0" l="0" r="0" t="0"/>
            <wp:docPr descr="" title="" id="34" name="Picture"/>
            <a:graphic>
              <a:graphicData uri="http://schemas.openxmlformats.org/drawingml/2006/picture">
                <pic:pic>
                  <pic:nvPicPr>
                    <pic:cNvPr descr="figuras/figura09_distribuicao_temporal_nucleo_final_104.png" id="35" name="Picture"/>
                    <pic:cNvPicPr>
                      <a:picLocks noChangeArrowheads="1" noChangeAspect="1"/>
                    </pic:cNvPicPr>
                  </pic:nvPicPr>
                  <pic:blipFill>
                    <a:blip r:embed="rId33"/>
                    <a:stretch>
                      <a:fillRect/>
                    </a:stretch>
                  </pic:blipFill>
                  <pic:spPr bwMode="auto">
                    <a:xfrm>
                      <a:off x="0" y="0"/>
                      <a:ext cx="4800600" cy="2800350"/>
                    </a:xfrm>
                    <a:prstGeom prst="rect">
                      <a:avLst/>
                    </a:prstGeom>
                    <a:noFill/>
                    <a:ln w="9525">
                      <a:noFill/>
                      <a:headEnd/>
                      <a:tailEnd/>
                    </a:ln>
                  </pic:spPr>
                </pic:pic>
              </a:graphicData>
            </a:graphic>
          </wp:inline>
        </w:drawing>
      </w:r>
    </w:p>
    <w:p>
      <w:pPr>
        <w:pStyle w:val="ImageCaption"/>
      </w:pPr>
      <w:r>
        <w:t xml:space="preserve">Distribuição temporal do núcleo final</w:t>
      </w:r>
    </w:p>
    <w:bookmarkEnd w:id="36"/>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
          <w:iCs/>
        </w:rPr>
        <w:t xml:space="preserve">Journal</w:t>
      </w:r>
      <w:r>
        <w:t xml:space="preserve">,</w:t>
      </w:r>
      <w:r>
        <w:t xml:space="preserve"> </w:t>
      </w:r>
      <w:r>
        <w:rPr>
          <w:i/>
          <w:iCs/>
        </w:rPr>
        <w:t xml:space="preserve">JOUR</w:t>
      </w:r>
      <w:r>
        <w:t xml:space="preserve"> </w:t>
      </w:r>
      <w:r>
        <w:t xml:space="preserve">e</w:t>
      </w:r>
      <w:r>
        <w:t xml:space="preserve"> </w:t>
      </w:r>
      <w:r>
        <w:rPr>
          <w:i/>
          <w:iCs/>
        </w:rPr>
        <w:t xml:space="preserve">journal-article</w:t>
      </w:r>
      <w:r>
        <w:t xml:space="preserve"> </w:t>
      </w:r>
      <w:r>
        <w:t xml:space="preserve">foram reunidos como artigo de periódico.</w:t>
      </w:r>
      <w:r>
        <w:t xml:space="preserve"> </w:t>
      </w:r>
      <w:r>
        <w:rPr>
          <w:i/>
          <w:iCs/>
        </w:rPr>
        <w:t xml:space="preserve">Conference Proceeding</w:t>
      </w:r>
      <w:r>
        <w:t xml:space="preserve"> </w:t>
      </w:r>
      <w:r>
        <w:t xml:space="preserve">e</w:t>
      </w:r>
      <w:r>
        <w:t xml:space="preserve"> </w:t>
      </w:r>
      <w:r>
        <w:rPr>
          <w:i/>
          <w:iCs/>
        </w:rPr>
        <w:t xml:space="preserve">CPAPER</w:t>
      </w:r>
      <w:r>
        <w:t xml:space="preserve"> </w:t>
      </w:r>
      <w:r>
        <w:t xml:space="preserve">foram reunidos como trabalho em evento.</w:t>
      </w:r>
      <w:r>
        <w:t xml:space="preserve"> </w:t>
      </w:r>
      <w:r>
        <w:rPr>
          <w:i/>
          <w:iCs/>
        </w:rPr>
        <w:t xml:space="preserve">Book Series</w:t>
      </w:r>
      <w:r>
        <w:t xml:space="preserve"> </w:t>
      </w:r>
      <w:r>
        <w:t xml:space="preserve">e</w:t>
      </w:r>
      <w:r>
        <w:t xml:space="preserve"> </w:t>
      </w:r>
      <w:r>
        <w:rPr>
          <w:i/>
          <w:iCs/>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37"/>
    <w:bookmarkStart w:id="42"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et al. 2016; Okoro 2023)</w:t>
      </w:r>
      <w:r>
        <w:t xml:space="preserve">, e com avaliações de edifícios educacionais que combinam desempenho, energia, conforto e usuários</w:t>
      </w:r>
      <w:r>
        <w:t xml:space="preserve"> </w:t>
      </w:r>
      <w:r>
        <w:t xml:space="preserve">(Alfalah et al. 2022)</w:t>
      </w:r>
      <w:r>
        <w:t xml:space="preserve">.</w:t>
      </w:r>
    </w:p>
    <w:bookmarkStart w:id="41" w:name="fig:dimensoes"/>
    <w:p>
      <w:pPr>
        <w:pStyle w:val="CaptionedFigure"/>
      </w:pPr>
      <w:r>
        <w:drawing>
          <wp:inline>
            <wp:extent cx="4800600" cy="2936837"/>
            <wp:effectExtent b="0" l="0" r="0" t="0"/>
            <wp:docPr descr="" title="" id="39" name="Picture"/>
            <a:graphic>
              <a:graphicData uri="http://schemas.openxmlformats.org/drawingml/2006/picture">
                <pic:pic>
                  <pic:nvPicPr>
                    <pic:cNvPr descr="figuras/figura12_dimensoes_sustentabilidade_nucleo_final_104.png" id="40" name="Picture"/>
                    <pic:cNvPicPr>
                      <a:picLocks noChangeArrowheads="1" noChangeAspect="1"/>
                    </pic:cNvPicPr>
                  </pic:nvPicPr>
                  <pic:blipFill>
                    <a:blip r:embed="rId38"/>
                    <a:stretch>
                      <a:fillRect/>
                    </a:stretch>
                  </pic:blipFill>
                  <pic:spPr bwMode="auto">
                    <a:xfrm>
                      <a:off x="0" y="0"/>
                      <a:ext cx="4800600" cy="2936837"/>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bookmarkEnd w:id="41"/>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et al. 2019)</w:t>
      </w:r>
      <w:r>
        <w:t xml:space="preserve">.</w:t>
      </w:r>
    </w:p>
    <w:bookmarkEnd w:id="42"/>
    <w:bookmarkStart w:id="47" w:name="sec:metodos"/>
    <w:p>
      <w:pPr>
        <w:pStyle w:val="Heading1"/>
      </w:pPr>
      <w:r>
        <w:t xml:space="preserve">Métodos de apoio à decisão</w:t>
      </w:r>
    </w:p>
    <w:p>
      <w:pPr>
        <w:pStyle w:val="FirstParagraph"/>
      </w:pPr>
      <w:r>
        <w:t xml:space="preserve">A categoria ampla</w:t>
      </w:r>
      <w:r>
        <w:t xml:space="preserve"> </w:t>
      </w:r>
      <w:r>
        <w:rPr>
          <w:i/>
          <w:iCs/>
        </w:rPr>
        <w:t xml:space="preserve">framework</w:t>
      </w:r>
      <w:r>
        <w:t xml:space="preserve"> </w:t>
      </w:r>
      <w:r>
        <w:t xml:space="preserve">foi atribuída a 96 registros. A modelagem da informação da construção (BIM, do inglês</w:t>
      </w:r>
      <w:r>
        <w:t xml:space="preserve"> </w:t>
      </w:r>
      <w:r>
        <w:rPr>
          <w:i/>
          <w:iCs/>
        </w:rPr>
        <w:t xml:space="preserve">Building Information Modeling</w:t>
      </w:r>
      <w:r>
        <w:t xml:space="preserve">) e</w:t>
      </w:r>
      <w:r>
        <w:t xml:space="preserve"> </w:t>
      </w:r>
      <w:r>
        <w:rPr>
          <w:i/>
          <w:iCs/>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
          <w:iCs/>
        </w:rPr>
        <w:t xml:space="preserve">Bayesian Best-Worst Method</w:t>
      </w:r>
      <w:r>
        <w:t xml:space="preserve">,</w:t>
      </w:r>
      <w:r>
        <w:t xml:space="preserve"> </w:t>
      </w:r>
      <w:r>
        <w:rPr>
          <w:i/>
          <w:iCs/>
        </w:rPr>
        <w:t xml:space="preserve">balanced scorecard</w:t>
      </w:r>
      <w:r>
        <w:t xml:space="preserve"> </w:t>
      </w:r>
      <w:r>
        <w:t xml:space="preserve">e raciocínio baseado em casos em um cada. A categoria</w:t>
      </w:r>
      <w:r>
        <w:t xml:space="preserve"> </w:t>
      </w:r>
      <w:r>
        <w:rPr>
          <w:i/>
          <w:iCs/>
        </w:rPr>
        <w:t xml:space="preserve">framework</w:t>
      </w:r>
      <w:r>
        <w:t xml:space="preserve"> </w:t>
      </w:r>
      <w:r>
        <w:t xml:space="preserve">reúne estruturas, modelos e referenciais; não equivale, por si, a método multicritério aplicado ou validado.</w:t>
      </w:r>
    </w:p>
    <w:bookmarkStart w:id="46" w:name="fig:metodos"/>
    <w:p>
      <w:pPr>
        <w:pStyle w:val="CaptionedFigure"/>
      </w:pPr>
      <w:r>
        <w:drawing>
          <wp:inline>
            <wp:extent cx="5067300" cy="4616873"/>
            <wp:effectExtent b="0" l="0" r="0" t="0"/>
            <wp:docPr descr="" title="" id="44" name="Picture"/>
            <a:graphic>
              <a:graphicData uri="http://schemas.openxmlformats.org/drawingml/2006/picture">
                <pic:pic>
                  <pic:nvPicPr>
                    <pic:cNvPr descr="figuras/figura11_metodos_mcdm_mais_frequentes_nucleo_final_104.png" id="45" name="Picture"/>
                    <pic:cNvPicPr>
                      <a:picLocks noChangeArrowheads="1" noChangeAspect="1"/>
                    </pic:cNvPicPr>
                  </pic:nvPicPr>
                  <pic:blipFill>
                    <a:blip r:embed="rId43"/>
                    <a:stretch>
                      <a:fillRect/>
                    </a:stretch>
                  </pic:blipFill>
                  <pic:spPr bwMode="auto">
                    <a:xfrm>
                      <a:off x="0" y="0"/>
                      <a:ext cx="5067300" cy="4616873"/>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bookmarkEnd w:id="46"/>
    <w:p>
      <w:pPr>
        <w:pStyle w:val="BodyText"/>
      </w:pPr>
      <w:r>
        <w:t xml:space="preserve">BIM foi identificado em 26 registros (25,0%) e</w:t>
      </w:r>
      <w:r>
        <w:t xml:space="preserve"> </w:t>
      </w:r>
      <w:r>
        <w:rPr>
          <w:i/>
          <w:iCs/>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
          <w:iCs/>
        </w:rPr>
        <w:t xml:space="preserve">campus</w:t>
      </w:r>
      <w:r>
        <w:t xml:space="preserve"> </w:t>
      </w:r>
      <w:r>
        <w:t xml:space="preserve">(Naji et al.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et al. (2021)</w:t>
      </w:r>
      <w:r>
        <w:t xml:space="preserve"> </w:t>
      </w:r>
      <w:r>
        <w:t xml:space="preserve">não encontraram, entre 123 estudos,</w:t>
      </w:r>
      <w:r>
        <w:t xml:space="preserve"> </w:t>
      </w:r>
      <w:r>
        <w:rPr>
          <w:i/>
          <w:iCs/>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et al.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et al. 2019)</w:t>
      </w:r>
      <w:r>
        <w:t xml:space="preserve">. Assim, menção a método, aplicação formal e validação permanecem categorias diferentes.</w:t>
      </w:r>
    </w:p>
    <w:bookmarkEnd w:id="47"/>
    <w:bookmarkStart w:id="48"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
          <w:iCs/>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
          <w:iCs/>
        </w:rPr>
        <w:t xml:space="preserve">campus</w:t>
      </w:r>
      <w:r>
        <w:t xml:space="preserve"> </w:t>
      </w:r>
      <w:r>
        <w:t xml:space="preserve">(Naji et al. 2023)</w:t>
      </w:r>
      <w:r>
        <w:t xml:space="preserve">, previsão orçamentária e uso de ordens de serviço</w:t>
      </w:r>
      <w:r>
        <w:t xml:space="preserve"> </w:t>
      </w:r>
      <w:r>
        <w:t xml:space="preserve">(Martins and Espejo 2024; Morais et al.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
          <w:iCs/>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et al. 2013)</w:t>
      </w:r>
      <w:r>
        <w:t xml:space="preserve">; e três projetos mostraram perda de informação na transição entre construção e operação, enfrentada pela integração de BIM,</w:t>
      </w:r>
      <w:r>
        <w:t xml:space="preserve"> </w:t>
      </w:r>
      <w:r>
        <w:rPr>
          <w:i/>
          <w:iCs/>
        </w:rPr>
        <w:t xml:space="preserve">Soft Landings</w:t>
      </w:r>
      <w:r>
        <w:t xml:space="preserve"> </w:t>
      </w:r>
      <w:r>
        <w:t xml:space="preserve">e comunicação</w:t>
      </w:r>
      <w:r>
        <w:t xml:space="preserve"> </w:t>
      </w:r>
      <w:r>
        <w:t xml:space="preserve">(Tan et al. 2018)</w:t>
      </w:r>
      <w:r>
        <w:t xml:space="preserve">. Esses achados sustentam governança da informação e validação contextual, sem equivaler a validação do protocolo proposto.</w:t>
      </w:r>
    </w:p>
    <w:bookmarkEnd w:id="48"/>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
          <w:iCs/>
        </w:rPr>
        <w:t xml:space="preserve">framework</w:t>
      </w:r>
      <w:r>
        <w:t xml:space="preserve"> </w:t>
      </w:r>
      <w:r>
        <w:t xml:space="preserve">aparecem conjuntamente em 88 registros; informação e dados têm 71 coocorrências com</w:t>
      </w:r>
      <w:r>
        <w:t xml:space="preserve"> </w:t>
      </w:r>
      <w:r>
        <w:rPr>
          <w:i/>
          <w:iCs/>
        </w:rPr>
        <w:t xml:space="preserve">framework</w:t>
      </w:r>
      <w:r>
        <w:t xml:space="preserve"> </w:t>
      </w:r>
      <w:r>
        <w:t xml:space="preserve">e 26 com BIM; custo e</w:t>
      </w:r>
      <w:r>
        <w:t xml:space="preserve"> </w:t>
      </w:r>
      <w:r>
        <w:rPr>
          <w:i/>
          <w:iCs/>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bookmarkStart w:id="52" w:name="fig:heatmap"/>
    <w:p>
      <w:pPr>
        <w:pStyle w:val="CaptionedFigure"/>
      </w:pPr>
      <w:r>
        <w:drawing>
          <wp:inline>
            <wp:extent cx="5227320" cy="3584447"/>
            <wp:effectExtent b="0" l="0" r="0" t="0"/>
            <wp:docPr descr="" title="" id="50" name="Picture"/>
            <a:graphic>
              <a:graphicData uri="http://schemas.openxmlformats.org/drawingml/2006/picture">
                <pic:pic>
                  <pic:nvPicPr>
                    <pic:cNvPr descr="figuras/figura13_heatmap_criterios_metodos_nucleo_final_104.png" id="51" name="Picture"/>
                    <pic:cNvPicPr>
                      <a:picLocks noChangeArrowheads="1" noChangeAspect="1"/>
                    </pic:cNvPicPr>
                  </pic:nvPicPr>
                  <pic:blipFill>
                    <a:blip r:embed="rId49"/>
                    <a:stretch>
                      <a:fillRect/>
                    </a:stretch>
                  </pic:blipFill>
                  <pic:spPr bwMode="auto">
                    <a:xfrm>
                      <a:off x="0" y="0"/>
                      <a:ext cx="5227320" cy="3584447"/>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bookmarkEnd w:id="52"/>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
          <w:iCs/>
        </w:rPr>
        <w:t xml:space="preserve">framework</w:t>
      </w:r>
      <w:r>
        <w:t xml:space="preserve">, 25 com</w:t>
      </w:r>
      <w:r>
        <w:t xml:space="preserve"> </w:t>
      </w:r>
      <w:r>
        <w:rPr>
          <w:i/>
          <w:iCs/>
        </w:rPr>
        <w:t xml:space="preserve">decision support</w:t>
      </w:r>
      <w:r>
        <w:t xml:space="preserve"> </w:t>
      </w:r>
      <w:r>
        <w:t xml:space="preserve">e 26 com BIM; a institucional tem 85 com</w:t>
      </w:r>
      <w:r>
        <w:t xml:space="preserve"> </w:t>
      </w:r>
      <w:r>
        <w:rPr>
          <w:i/>
          <w:iCs/>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bookmarkStart w:id="56" w:name="fig:matrizanalitica"/>
    <w:p>
      <w:pPr>
        <w:pStyle w:val="CaptionedFigure"/>
      </w:pPr>
      <w:r>
        <w:drawing>
          <wp:inline>
            <wp:extent cx="5227320" cy="2787903"/>
            <wp:effectExtent b="0" l="0" r="0" t="0"/>
            <wp:docPr descr="" title="" id="54" name="Picture"/>
            <a:graphic>
              <a:graphicData uri="http://schemas.openxmlformats.org/drawingml/2006/picture">
                <pic:pic>
                  <pic:nvPicPr>
                    <pic:cNvPr descr="figuras/figura14_matriz_analitica_dimensao_metodo_nucleo_final_104.png" id="55" name="Picture"/>
                    <pic:cNvPicPr>
                      <a:picLocks noChangeArrowheads="1" noChangeAspect="1"/>
                    </pic:cNvPicPr>
                  </pic:nvPicPr>
                  <pic:blipFill>
                    <a:blip r:embed="rId53"/>
                    <a:stretch>
                      <a:fillRect/>
                    </a:stretch>
                  </pic:blipFill>
                  <pic:spPr bwMode="auto">
                    <a:xfrm>
                      <a:off x="0" y="0"/>
                      <a:ext cx="5227320" cy="2787903"/>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bookmarkEnd w:id="56"/>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et al.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et al.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bookmarkStart w:id="57" w:name="fig:fluxoprotocolo"/>
    <w:p>
      <w:pPr>
        <w:pStyle w:val="ImageCaption"/>
      </w:pPr>
      <w:r>
        <w:t xml:space="preserve">Fluxo candidato para aplicação e auditoria do protocolo</w:t>
      </w:r>
    </w:p>
    <w:bookmarkEnd w:id="57"/>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et al. 2016; Opoku and Lee 2022; Okoro 2023)</w:t>
      </w:r>
      <w:r>
        <w:t xml:space="preserve">. A concentração de 84,6% do núcleo entre 2019 e 2026 e o crescimento relativo de BIM,</w:t>
      </w:r>
      <w:r>
        <w:t xml:space="preserve"> </w:t>
      </w:r>
      <w:r>
        <w:rPr>
          <w:i/>
          <w:iCs/>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et al.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
          <w:iCs/>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
          <w:iCs/>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et al.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
          <w:iCs/>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et al.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
          <w:bCs/>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
          <w:bCs/>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
          <w:bCs/>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
          <w:iCs/>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
          <w:iCs/>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
          <w:bCs/>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
          <w:bCs/>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
          <w:bCs/>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
          <w:bCs/>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
          <w:iCs/>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
          <w:iCs/>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
          <w:iCs/>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
          <w:iCs/>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rPr>
          <w:i/>
          <w:iCs/>
        </w:rPr>
        <w:t xml:space="preserve">NBR 5674: Manutenção de Edificações, Requisitos Para o Sistema de Gestão de Manutenção</w:t>
      </w:r>
      <w:r>
        <w:t xml:space="preserve">.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
          <w:iCs/>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
          <w:iCs/>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
          <w:iCs/>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
          <w:iCs/>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
          <w:iCs/>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
          <w:iCs/>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
          <w:iCs/>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
          <w:iCs/>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
          <w:iCs/>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
          <w:iCs/>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
          <w:iCs/>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
          <w:iCs/>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
          <w:iCs/>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
          <w:iCs/>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
          <w:iCs/>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
          <w:iCs/>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
          <w:iCs/>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
          <w:iCs/>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
          <w:iCs/>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
          <w:iCs/>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
          <w:iCs/>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
          <w:iCs/>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
          <w:iCs/>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
          <w:iCs/>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
          <w:iCs/>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
          <w:iCs/>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
          <w:iCs/>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
          <w:iCs/>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43" Type="http://schemas.openxmlformats.org/officeDocument/2006/relationships/image" Target="media/rId43.png"/><Relationship Id="rId38" Type="http://schemas.openxmlformats.org/officeDocument/2006/relationships/image" Target="media/rId38.png"/><Relationship Id="rId49" Type="http://schemas.openxmlformats.org/officeDocument/2006/relationships/image" Target="media/rId49.png"/><Relationship Id="rId53" Type="http://schemas.openxmlformats.org/officeDocument/2006/relationships/image" Target="media/rId53.png"/><Relationship Id="rId28" Type="http://schemas.openxmlformats.org/officeDocument/2006/relationships/image" Target="media/rId28.pdf"/><Relationship Id="rId16" Type="http://schemas.openxmlformats.org/officeDocument/2006/relationships/image" Target="media/rId16.pdf"/><Relationship Id="rId20" Type="http://schemas.openxmlformats.org/officeDocument/2006/relationships/image" Target="media/rId20.pdf"/><Relationship Id="rId24" Type="http://schemas.openxmlformats.org/officeDocument/2006/relationships/image" Target="media/rId24.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2026-07-12T19:43:10Z</dcterms:created>
  <dcterms:modified xsi:type="dcterms:W3CDTF">2026-07-12T19:43:10Z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