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O artigo investiga como evidências bibliométricas e temáticas sobre manutenção predial sustentável podem fundamentar um protocolo multicritério adaptável às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Predominaram as dimensões técnica-operacional (116 registros), institucional (97) e ambiental (92), e os critérios desempenho operacional (99), informação e dados (82), custo (63), energia e vida útil (44 cada). Aprendizado de máquina passou de nove para 26 registros após a sensibilidade. Entre os 17 incorporados, dez tratam predominantemente de previsão ou previsão com otimização, dois de diagnóstico e classificação e cinco de síntese ou integração tecnológica. Nenhum demonstrou a cadeia completa entre modelo treinado, validação externa, ponderação multicritério, regras de veto e decisão pública auditável. Como contribuição, a síntese foi convertida em matriz analítica conceitual e protocolo operacional candidato, com indicadores, fontes, periodicidade, direção de preferência e vetos. Frequências documentais não foram transformadas em pesos; ponderação, limiares e agregação dependem de validação institucional e teste multicampi.</w:t>
      </w:r>
    </w:p>
    <w:p>
      <w:pPr>
        <w:pStyle w:val="BodyText"/>
      </w:pPr>
      <w:r>
        <w:rPr>
          <w:bCs/>
          <w:b/>
        </w:rPr>
        <w:t xml:space="preserve">Palavras-chave:</w:t>
      </w:r>
      <w:r>
        <w:t xml:space="preserve"> </w:t>
      </w:r>
      <w:r>
        <w:t xml:space="preserve">manutenção predial; sustentabilidade; decisão multicritério; edificações públicas universitárias; aprendizado de máquina.</w:t>
      </w:r>
    </w:p>
    <w:p>
      <w:pPr>
        <w:pStyle w:val="BodyText"/>
      </w:pPr>
      <w:r>
        <w:rPr>
          <w:bCs/>
          <w:b/>
        </w:rPr>
        <w:t xml:space="preserve">Abstract</w:t>
      </w:r>
    </w:p>
    <w:p>
      <w:pPr>
        <w:pStyle w:val="BodyText"/>
      </w:pPr>
      <w:r>
        <w:t xml:space="preserve">This article investigates how bibliometric and thematic evidence on sustainable building maintenance can support a multi-criteria protocol adaptable to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The technical-operational (116 records), institutional (97), and environmental (92) dimensions predominated, as did operational performance (99), information and data (82), cost (63), energy, and service life (44 each). Machine learning increased from nine to 26 records after the sensitivity search. Among the 17 incorporated records, ten predominantly address prediction or prediction with optimization, two address diagnosis and classification, and five address technological synthesis or integration. None demonstrated the complete chain linking a trained model, external validation, multi-criteria weighting, veto rules, and auditable public decision-making. The synthesis was translated into a conceptual analytical matrix and a candidate operational protocol specifying indicators, data sources, periodicity, preference direction, and vetoes. Documentary frequencies were not converted into weights; weighting, thresholds, and aggregation require institutional validation and multi-campus testing.</w:t>
      </w:r>
    </w:p>
    <w:p>
      <w:pPr>
        <w:pStyle w:val="BodyText"/>
      </w:pPr>
      <w:r>
        <w:rPr>
          <w:bCs/>
          <w:b/>
        </w:rPr>
        <w:t xml:space="preserve">Keywords:</w:t>
      </w:r>
      <w:r>
        <w:t xml:space="preserve"> </w:t>
      </w:r>
      <w:r>
        <w:t xml:space="preserve">building maintenance; sustainability; multi-criteria decision-making; public university buildings; machine learning.</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como indicam estudos de caso em instituições universitárias</w:t>
      </w:r>
      <w:r>
        <w:t xml:space="preserve"> </w:t>
      </w:r>
      <w:r>
        <w:t xml:space="preserve">(Lateef, Khamidi, and Idrus 2010; Barbosa et al. 2020)</w:t>
      </w:r>
      <w:r>
        <w:t xml:space="preserve">.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Para sustentar a prioridade, séries de custos e ordens de serviço precisam ser combinadas a condição física, risco, energia, impacto ambiental, experiência dos usuários, conformidade e capacidade institucional</w:t>
      </w:r>
      <w:r>
        <w:t xml:space="preserve"> </w:t>
      </w:r>
      <w:r>
        <w:t xml:space="preserve">(Maia, Scheer, and Freitas 2016; Nägeli et al. 2019; Alfalah et al. 2022)</w:t>
      </w:r>
      <w:r>
        <w:t xml:space="preserve">.</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r>
        <w:t xml:space="preserve"> </w:t>
      </w:r>
      <w:r>
        <w:t xml:space="preserve">(Alfalah et al. 2022; Naji, Gunduz, and Maki 2023; Masmoudi et al. 2026)</w:t>
      </w:r>
      <w:r>
        <w:t xml:space="preserve">.</w:t>
      </w:r>
    </w:p>
    <w:p>
      <w:pPr>
        <w:pStyle w:val="BodyText"/>
      </w:pPr>
      <w:r>
        <w:t xml:space="preserve">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w:t>
      </w:r>
      <w:r>
        <w:t xml:space="preserve"> </w:t>
      </w:r>
      <w:r>
        <w:t xml:space="preserve">(Deng, Menassa, and Kamat 2021; Das 2025; Alfalah et al. 2022; Masmoudi et al. 2026)</w:t>
      </w:r>
      <w:r>
        <w:t xml:space="preserve">. A lacuna abordada neste artigo é a conexão rastreável entre evidência científica, variável observável e regra pública de decisão, sem confundir frequência bibliográfica com importância normativa.</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w:t>
      </w:r>
    </w:p>
    <w:p>
      <w:pPr>
        <w:pStyle w:val="BodyText"/>
      </w:pPr>
      <w:r>
        <w:t xml:space="preserve">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não redefine retrospectivamente a busca principal; ela testa uma possível insuficiência de cobertura temática identificada após a síntese inicial.</w:t>
      </w:r>
    </w:p>
    <w:p>
      <w:pPr>
        <w:pStyle w:val="BodyText"/>
      </w:pPr>
      <w:r>
        <w:t xml:space="preserve">A contribuição pretendida é tripla: separar o mapeamento estrutural do campo da síntese temática; testar a cobertura de métodos informacionais por uma busca de sensibilidade explicitamente delimitada; e traduzir os achados em especificação operacional cuja validade permaneça condicionada à participação institucional e ao teste empírico.</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abrangendo ciclo de vida, gestão sustentável de facilidades, efeitos sobre usuários, integração digital e apoio multicritério</w:t>
      </w:r>
      <w:r>
        <w:t xml:space="preserve"> </w:t>
      </w:r>
      <w:r>
        <w:t xml:space="preserve">(Nägeli et al. 2019; Nielsen, Sarasoja, and Galamba 2016; Alfalah et al. 2022; Deng, Menassa, and Kamat 2021; Masmoudi et al. 2026)</w:t>
      </w:r>
      <w:r>
        <w:t xml:space="preserve">. Essa organização não substitui a classificação empírica do corpus; ela explicita os fundamentos usados para converter a síntese em arquitetura decisória. A Tabela </w:t>
      </w:r>
      <w:hyperlink w:anchor="tab:correntesteoricas">
        <w:r>
          <w:rPr>
            <w:rStyle w:val="Hyperlink"/>
          </w:rPr>
          <w:t xml:space="preserve">1</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IA e manutenção preditiva.</w:t>
            </w:r>
          </w:p>
        </w:tc>
        <w:tc>
          <w:tcPr>
            <w:tcW w:type="dxa" w:w="2340"/>
          </w:tcPr>
          <w:p>
            <w:r>
              <w:rPr>
                <w:sz w:val="18"/>
              </w:rPr>
              <w:t>Rastreabilidade, integração de dados, diagnóstico e atualização progressiva dos indicadores.</w:t>
            </w:r>
          </w:p>
        </w:tc>
        <w:tc>
          <w:tcPr>
            <w:tcW w:type="dxa" w:w="2340"/>
          </w:tcPr>
          <w:p>
            <w:r>
              <w:rPr>
                <w:sz w:val="18"/>
              </w:rPr>
              <w:t>Validação externa, interoperabilidade e governança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w:t>
      </w:r>
      <w:r>
        <w:t xml:space="preserve"> </w:t>
      </w:r>
      <w:r>
        <w:t xml:space="preserve">(Othman and Kamal 2023; Chew and Conejos 2016; Conejos, Chew, and Azril 2019)</w:t>
      </w:r>
      <w:r>
        <w:t xml:space="preserve">.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No protocolo proposto, o ciclo de vida opera como eixo transversal para integrar custos, riscos e impactos futuros sem converter a mesma consequência temporal em critérios redundantes, opção analítica apoiada pela abordagem conjunta de manutenção, renovação e energia</w:t>
      </w:r>
      <w:r>
        <w:t xml:space="preserve"> </w:t>
      </w:r>
      <w:r>
        <w:t xml:space="preserve">(Nägeli et al. 2019)</w:t>
      </w:r>
      <w:r>
        <w:t xml:space="preserve">.</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inteligência artificial e manutenção preditiva. Essas tecnologias podem conectar cadastro, condição, operação e histórico de intervenções, mas cumprem funções distintas: plataformas organizam e sincronizam dados; modelos treinados estimam demanda, vida útil ou anomalias; e a decisão institucional ainda precisa estabelecer critérios, preferências e restrições.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 Estudos integrais do lote de sensibilidade reforçam a necessidade de validação contextual e governança dos dados</w:t>
      </w:r>
      <w:r>
        <w:t xml:space="preserve"> </w:t>
      </w:r>
      <w:r>
        <w:t xml:space="preserve">(Motuzienė et al. 2025; Wu and Mundt-Petersen 2025; Das 2025)</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w:t>
      </w:r>
      <w:r>
        <w:t xml:space="preserve"> </w:t>
      </w:r>
      <w:r>
        <w:rPr>
          <w:iCs/>
          <w:i/>
        </w:rPr>
        <w:t xml:space="preserve">campus</w:t>
      </w:r>
      <w:r>
        <w:t xml:space="preserve"> </w:t>
      </w:r>
      <w:r>
        <w:t xml:space="preserve">e de manutenção pública</w:t>
      </w:r>
      <w:r>
        <w:t xml:space="preserve"> </w:t>
      </w:r>
      <w:r>
        <w:t xml:space="preserve">(Alfalah et al. 2022; Naji, Gunduz, and Maki 2023; Masmoudi et al. 2026)</w:t>
      </w:r>
      <w:r>
        <w:t xml:space="preserve">. Ainda assim, a seleção do método deve considerar o problema decisório, a qualidade dos dados, a compensabilidade dos critérios e a capacidade dos usuários, e não apenas sua frequência bibliográfica</w:t>
      </w:r>
      <w:r>
        <w:t xml:space="preserve"> </w:t>
      </w:r>
      <w:r>
        <w:t xml:space="preserve">(Alfalah et al. 2022; Naji, Gunduz, and Maki 2023; Masmoudi et al. 2026)</w:t>
      </w:r>
      <w:r>
        <w:t xml:space="preserve">.</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p>
    <w:p>
      <w:pPr>
        <w:pStyle w:val="BodyText"/>
      </w:pP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w:t>
      </w:r>
      <w:r>
        <w:t xml:space="preserve">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Os registros recuperados por essa busca direcionada não foram acrescentados à camada bibliométrica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 aplicações dessas famílias metodológicas no domínio predial são apresentadas por</w:t>
      </w:r>
      <w:r>
        <w:t xml:space="preserve"> </w:t>
      </w:r>
      <w:r>
        <w:t xml:space="preserve">Alfalah et al. (2022; Naji, Gunduz, and Maki 2023; Masmoudi et al. 2026)</w:t>
      </w:r>
      <w:r>
        <w:t xml:space="preserve">.</w:t>
      </w:r>
    </w:p>
    <w:p>
      <w:pPr>
        <w:pStyle w:val="BodyText"/>
      </w:pPr>
      <w:r>
        <w:t xml:space="preserve">A matriz de alinhamento da Tabela </w:t>
      </w:r>
      <w:hyperlink w:anchor="tab:alinhamentorq">
        <w:r>
          <w:rPr>
            <w:rStyle w:val="Hyperlink"/>
          </w:rPr>
          <w:t xml:space="preserve">2</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8.</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9.</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r>
        <w:tc>
          <w:tcPr>
            <w:tcW w:type="dxa" w:w="1872"/>
          </w:tcPr>
          <w:p>
            <w:r>
              <w:rPr>
                <w:sz w:val="18"/>
              </w:rPr>
              <w:t>RQ6</w:t>
            </w:r>
          </w:p>
        </w:tc>
        <w:tc>
          <w:tcPr>
            <w:tcW w:type="dxa" w:w="1872"/>
          </w:tcPr>
          <w:p>
            <w:r>
              <w:rPr>
                <w:sz w:val="18"/>
              </w:rPr>
              <w:t>Efeito da busca de sensibilidade sobre a identificação de IA e aprendizado de máquina.</w:t>
            </w:r>
          </w:p>
        </w:tc>
        <w:tc>
          <w:tcPr>
            <w:tcW w:type="dxa" w:w="1872"/>
          </w:tcPr>
          <w:p>
            <w:r>
              <w:rPr>
                <w:sz w:val="18"/>
              </w:rPr>
              <w:t>Técnica computacional confirmada, objeto predial e sustentabilidade; termos ambíguos exigem contexto adicional.</w:t>
            </w:r>
          </w:p>
        </w:tc>
        <w:tc>
          <w:tcPr>
            <w:tcW w:type="dxa" w:w="1872"/>
          </w:tcPr>
          <w:p>
            <w:r>
              <w:rPr>
                <w:sz w:val="18"/>
              </w:rPr>
              <w:t>Classe de evidência RQ6; técnica identificada; contexto; decisão de incorporação.</w:t>
            </w:r>
          </w:p>
        </w:tc>
        <w:tc>
          <w:tcPr>
            <w:tcW w:type="dxa" w:w="1872"/>
          </w:tcPr>
          <w:p>
            <w:r>
              <w:rPr>
                <w:sz w:val="18"/>
              </w:rPr>
              <w:t>Seções 3.4, 7, 10 e 12.</w:t>
            </w:r>
          </w:p>
        </w:tc>
      </w:tr>
    </w:tbl>
    <w:p/>
    <w:p>
      <w:pPr>
        <w:pStyle w:val="BodyText"/>
      </w:pPr>
      <w:r>
        <w:t xml:space="preserve">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w:t>
      </w:r>
    </w:p>
    <w:p>
      <w:pPr>
        <w:pStyle w:val="BodyText"/>
      </w:pPr>
      <w:r>
        <w:t xml:space="preserve">A busca complementar de sensibilidade foi executada em 12 de julho de 2026 nas mesmas três fontes, sem filtros adicionais além do período de publicação. A Scopus recuperou 3.169 registros por uma expressão em</w:t>
      </w:r>
      <w:r>
        <w:t xml:space="preserve"> </w:t>
      </w:r>
      <w:r>
        <w:rPr>
          <w:rStyle w:val="VerbatimChar"/>
        </w:rPr>
        <w:t xml:space="preserve">TITLE-ABS-KEY</w:t>
      </w:r>
      <w:r>
        <w:t xml:space="preserve">. Na plataforma Web of Science, a consulta foi executada na opção All Databases, no campo</w:t>
      </w:r>
      <w:r>
        <w:t xml:space="preserve"> </w:t>
      </w:r>
      <w:r>
        <w:rPr>
          <w:rStyle w:val="VerbatimChar"/>
        </w:rPr>
        <w:t xml:space="preserve">Topic (TS)</w:t>
      </w:r>
      <w:r>
        <w:t xml:space="preserve">, e recuperou 1.559 registros exportados em duas partes não sobrepostas; esses registros apresentam indexação na Web of Science Core Collection. No Crossref, dez consultas por</w:t>
      </w:r>
      <w:r>
        <w:t xml:space="preserve"> </w:t>
      </w:r>
      <w:r>
        <w:rPr>
          <w:rStyle w:val="VerbatimChar"/>
        </w:rPr>
        <w:t xml:space="preserve">query.bibliographic</w:t>
      </w:r>
      <w:r>
        <w:t xml:space="preserve">,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pPr>
      <w:r>
        <w:t xml:space="preserve">A Tabela </w:t>
      </w:r>
      <w:hyperlink w:anchor="tab:estrategiabusca">
        <w:r>
          <w:rPr>
            <w:rStyle w:val="Hyperlink"/>
          </w:rPr>
          <w:t xml:space="preserve">3</w:t>
        </w:r>
      </w:hyperlink>
      <w:r>
        <w:t xml:space="preserve"> </w:t>
      </w:r>
      <w:r>
        <w:t xml:space="preserve">consolida as duas rodadas. O arquivo</w:t>
      </w:r>
      <w:r>
        <w:t xml:space="preserve"> </w:t>
      </w:r>
      <w:r>
        <w:rPr>
          <w:rStyle w:val="VerbatimChar"/>
        </w:rPr>
        <w:t xml:space="preserve">latex-artigo/fontes/tabela_estrategia_busca.csv</w:t>
      </w:r>
      <w:r>
        <w:t xml:space="preserve"> </w:t>
      </w:r>
      <w:r>
        <w:t xml:space="preserve">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Rodada</w:t>
            </w:r>
          </w:p>
        </w:tc>
        <w:tc>
          <w:tcPr>
            <w:tcW w:type="dxa" w:w="1560"/>
          </w:tcPr>
          <w:p>
            <w:r>
              <w:rPr>
                <w:b/>
                <w:sz w:val="18"/>
              </w:rPr>
              <w:t>Base</w:t>
            </w:r>
          </w:p>
        </w:tc>
        <w:tc>
          <w:tcPr>
            <w:tcW w:type="dxa" w:w="1560"/>
          </w:tcPr>
          <w:p>
            <w:r>
              <w:rPr>
                <w:b/>
                <w:sz w:val="18"/>
              </w:rPr>
              <w:t>Data</w:t>
            </w:r>
          </w:p>
        </w:tc>
        <w:tc>
          <w:tcPr>
            <w:tcW w:type="dxa" w:w="1560"/>
          </w:tcPr>
          <w:p>
            <w:r>
              <w:rPr>
                <w:b/>
                <w:sz w:val="18"/>
              </w:rPr>
              <w:t>Campo e consultas</w:t>
            </w:r>
          </w:p>
        </w:tc>
        <w:tc>
          <w:tcPr>
            <w:tcW w:type="dxa" w:w="1560"/>
          </w:tcPr>
          <w:p>
            <w:r>
              <w:rPr>
                <w:b/>
                <w:sz w:val="18"/>
              </w:rPr>
              <w:t>Registros</w:t>
            </w:r>
          </w:p>
        </w:tc>
        <w:tc>
          <w:tcPr>
            <w:tcW w:type="dxa" w:w="1560"/>
          </w:tcPr>
          <w:p>
            <w:r>
              <w:rPr>
                <w:b/>
                <w:sz w:val="18"/>
              </w:rPr>
              <w:t>Documentação</w:t>
            </w:r>
          </w:p>
        </w:tc>
      </w:tr>
      <w:tr>
        <w:tc>
          <w:tcPr>
            <w:tcW w:type="dxa" w:w="1560"/>
          </w:tcPr>
          <w:p>
            <w:r>
              <w:rPr>
                <w:sz w:val="18"/>
              </w:rPr>
              <w:t>Principal</w:t>
            </w:r>
          </w:p>
        </w:tc>
        <w:tc>
          <w:tcPr>
            <w:tcW w:type="dxa" w:w="1560"/>
          </w:tcPr>
          <w:p>
            <w:r>
              <w:rPr>
                <w:sz w:val="18"/>
              </w:rPr>
              <w:t>Scopus</w:t>
            </w:r>
          </w:p>
        </w:tc>
        <w:tc>
          <w:tcPr>
            <w:tcW w:type="dxa" w:w="1560"/>
          </w:tcPr>
          <w:p>
            <w:r>
              <w:rPr>
                <w:sz w:val="18"/>
              </w:rPr>
              <w:t>08–09/07/2026</w:t>
            </w:r>
          </w:p>
        </w:tc>
        <w:tc>
          <w:tcPr>
            <w:tcW w:type="dxa" w:w="1560"/>
          </w:tcPr>
          <w:p>
            <w:r>
              <w:rPr>
                <w:sz w:val="18"/>
              </w:rPr>
              <w:t>4 em TITLE-ABS-KEY; enriquecimento por EID</w:t>
            </w:r>
          </w:p>
        </w:tc>
        <w:tc>
          <w:tcPr>
            <w:tcW w:type="dxa" w:w="1560"/>
          </w:tcPr>
          <w:p>
            <w:r>
              <w:rPr>
                <w:sz w:val="18"/>
              </w:rPr>
              <w:t>9.438</w:t>
            </w:r>
          </w:p>
        </w:tc>
        <w:tc>
          <w:tcPr>
            <w:tcW w:type="dxa" w:w="1560"/>
          </w:tcPr>
          <w:p>
            <w:r>
              <w:rPr>
                <w:sz w:val="18"/>
              </w:rPr>
              <w:t>Strings preservadas; 9.433 da API e cinco do export manual.</w:t>
            </w:r>
          </w:p>
        </w:tc>
      </w:tr>
      <w:tr>
        <w:tc>
          <w:tcPr>
            <w:tcW w:type="dxa" w:w="1560"/>
          </w:tcPr>
          <w:p>
            <w:r>
              <w:rPr>
                <w:sz w:val="18"/>
              </w:rPr>
              <w:t>Principal</w:t>
            </w:r>
          </w:p>
        </w:tc>
        <w:tc>
          <w:tcPr>
            <w:tcW w:type="dxa" w:w="1560"/>
          </w:tcPr>
          <w:p>
            <w:r>
              <w:rPr>
                <w:sz w:val="18"/>
              </w:rPr>
              <w:t>Web of Science</w:t>
            </w:r>
          </w:p>
        </w:tc>
        <w:tc>
          <w:tcPr>
            <w:tcW w:type="dxa" w:w="1560"/>
          </w:tcPr>
          <w:p>
            <w:r>
              <w:rPr>
                <w:sz w:val="18"/>
              </w:rPr>
              <w:t>08/07/2026</w:t>
            </w:r>
          </w:p>
        </w:tc>
        <w:tc>
          <w:tcPr>
            <w:tcW w:type="dxa" w:w="1560"/>
          </w:tcPr>
          <w:p>
            <w:r>
              <w:rPr>
                <w:sz w:val="18"/>
              </w:rPr>
              <w:t>4 em TS (Topic)</w:t>
            </w:r>
          </w:p>
        </w:tc>
        <w:tc>
          <w:tcPr>
            <w:tcW w:type="dxa" w:w="1560"/>
          </w:tcPr>
          <w:p>
            <w:r>
              <w:rPr>
                <w:sz w:val="18"/>
              </w:rPr>
              <w:t>1.680</w:t>
            </w:r>
          </w:p>
        </w:tc>
        <w:tc>
          <w:tcPr>
            <w:tcW w:type="dxa" w:w="1560"/>
          </w:tcPr>
          <w:p>
            <w:r>
              <w:rPr>
                <w:sz w:val="18"/>
              </w:rPr>
              <w:t>Strings preservadas; quarta exportação recontada em 503.</w:t>
            </w:r>
          </w:p>
        </w:tc>
      </w:tr>
      <w:tr>
        <w:tc>
          <w:tcPr>
            <w:tcW w:type="dxa" w:w="1560"/>
          </w:tcPr>
          <w:p>
            <w:r>
              <w:rPr>
                <w:sz w:val="18"/>
              </w:rPr>
              <w:t>Principal</w:t>
            </w:r>
          </w:p>
        </w:tc>
        <w:tc>
          <w:tcPr>
            <w:tcW w:type="dxa" w:w="1560"/>
          </w:tcPr>
          <w:p>
            <w:r>
              <w:rPr>
                <w:sz w:val="18"/>
              </w:rPr>
              <w:t>Crossref</w:t>
            </w:r>
          </w:p>
        </w:tc>
        <w:tc>
          <w:tcPr>
            <w:tcW w:type="dxa" w:w="1560"/>
          </w:tcPr>
          <w:p>
            <w:r>
              <w:rPr>
                <w:sz w:val="18"/>
              </w:rPr>
              <w:t>08/07/2026</w:t>
            </w:r>
          </w:p>
        </w:tc>
        <w:tc>
          <w:tcPr>
            <w:tcW w:type="dxa" w:w="1560"/>
          </w:tcPr>
          <w:p>
            <w:r>
              <w:rPr>
                <w:sz w:val="18"/>
              </w:rPr>
              <w:t>5 em query.bibliographic</w:t>
            </w:r>
          </w:p>
        </w:tc>
        <w:tc>
          <w:tcPr>
            <w:tcW w:type="dxa" w:w="1560"/>
          </w:tcPr>
          <w:p>
            <w:r>
              <w:rPr>
                <w:sz w:val="18"/>
              </w:rPr>
              <w:t>1.000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12.118</w:t>
            </w:r>
          </w:p>
        </w:tc>
        <w:tc>
          <w:tcPr>
            <w:tcW w:type="dxa" w:w="1560"/>
          </w:tcPr>
          <w:p>
            <w:r>
              <w:rPr>
                <w:sz w:val="18"/>
              </w:rPr>
              <w:t>13 consultas, antes da deduplicação.</w:t>
            </w:r>
          </w:p>
        </w:tc>
        <w:tc>
          <w:tcPr>
            <w:tcW w:type="dxa" w:w="1560"/>
          </w:tcPr>
          <w:p>
            <w:r>
              <w:rPr>
                <w:sz w:val="18"/>
              </w:rPr>
            </w:r>
          </w:p>
        </w:tc>
        <w:tc>
          <w:tcPr>
            <w:tcW w:type="dxa" w:w="1560"/>
          </w:tcPr>
          <w:p>
            <w:r>
              <w:rPr>
                <w:sz w:val="18"/>
              </w:rPr>
            </w:r>
          </w:p>
        </w:tc>
        <w:tc>
          <w:tcPr>
            <w:tcW w:type="dxa" w:w="1560"/>
          </w:tcPr>
          <w:p>
            <w:r>
              <w:rPr>
                <w:sz w:val="18"/>
              </w:rPr>
            </w:r>
          </w:p>
        </w:tc>
      </w:tr>
      <w:tr>
        <w:tc>
          <w:tcPr>
            <w:tcW w:type="dxa" w:w="1560"/>
          </w:tcPr>
          <w:p>
            <w:r>
              <w:rPr>
                <w:sz w:val="18"/>
              </w:rPr>
              <w:t>Sensibilidade IA/ML</w:t>
            </w:r>
          </w:p>
        </w:tc>
        <w:tc>
          <w:tcPr>
            <w:tcW w:type="dxa" w:w="1560"/>
          </w:tcPr>
          <w:p>
            <w:r>
              <w:rPr>
                <w:sz w:val="18"/>
              </w:rPr>
              <w:t>Scopus</w:t>
            </w:r>
          </w:p>
        </w:tc>
        <w:tc>
          <w:tcPr>
            <w:tcW w:type="dxa" w:w="1560"/>
          </w:tcPr>
          <w:p>
            <w:r>
              <w:rPr>
                <w:sz w:val="18"/>
              </w:rPr>
              <w:t>12/07/2026</w:t>
            </w:r>
          </w:p>
        </w:tc>
        <w:tc>
          <w:tcPr>
            <w:tcW w:type="dxa" w:w="1560"/>
          </w:tcPr>
          <w:p>
            <w:r>
              <w:rPr>
                <w:sz w:val="18"/>
              </w:rPr>
              <w:t>1 em TITLE-ABS-KEY</w:t>
            </w:r>
          </w:p>
        </w:tc>
        <w:tc>
          <w:tcPr>
            <w:tcW w:type="dxa" w:w="1560"/>
          </w:tcPr>
          <w:p>
            <w:r>
              <w:rPr>
                <w:sz w:val="18"/>
              </w:rPr>
              <w:t>3.169</w:t>
            </w:r>
          </w:p>
        </w:tc>
        <w:tc>
          <w:tcPr>
            <w:tcW w:type="dxa" w:w="1560"/>
          </w:tcPr>
          <w:p>
            <w:r>
              <w:rPr>
                <w:sz w:val="18"/>
              </w:rPr>
              <w:t>String integral documentada; sem filtros adicionais além do período.</w:t>
            </w:r>
          </w:p>
        </w:tc>
      </w:tr>
      <w:tr>
        <w:tc>
          <w:tcPr>
            <w:tcW w:type="dxa" w:w="1560"/>
          </w:tcPr>
          <w:p>
            <w:r>
              <w:rPr>
                <w:sz w:val="18"/>
              </w:rPr>
              <w:t>Sensibilidade IA/ML</w:t>
            </w:r>
          </w:p>
        </w:tc>
        <w:tc>
          <w:tcPr>
            <w:tcW w:type="dxa" w:w="1560"/>
          </w:tcPr>
          <w:p>
            <w:r>
              <w:rPr>
                <w:sz w:val="18"/>
              </w:rPr>
              <w:t>Web of Science – All Databases</w:t>
            </w:r>
          </w:p>
        </w:tc>
        <w:tc>
          <w:tcPr>
            <w:tcW w:type="dxa" w:w="1560"/>
          </w:tcPr>
          <w:p>
            <w:r>
              <w:rPr>
                <w:sz w:val="18"/>
              </w:rPr>
              <w:t>12/07/2026</w:t>
            </w:r>
          </w:p>
        </w:tc>
        <w:tc>
          <w:tcPr>
            <w:tcW w:type="dxa" w:w="1560"/>
          </w:tcPr>
          <w:p>
            <w:r>
              <w:rPr>
                <w:sz w:val="18"/>
              </w:rPr>
              <w:t>1 em Topic (TS), exportada em duas partes</w:t>
            </w:r>
          </w:p>
        </w:tc>
        <w:tc>
          <w:tcPr>
            <w:tcW w:type="dxa" w:w="1560"/>
          </w:tcPr>
          <w:p>
            <w:r>
              <w:rPr>
                <w:sz w:val="18"/>
              </w:rPr>
              <w:t>1.559</w:t>
            </w:r>
          </w:p>
        </w:tc>
        <w:tc>
          <w:tcPr>
            <w:tcW w:type="dxa" w:w="1560"/>
          </w:tcPr>
          <w:p>
            <w:r>
              <w:rPr>
                <w:sz w:val="18"/>
              </w:rPr>
              <w:t>String integral documentada; registros indexados na Core Collection.</w:t>
            </w:r>
          </w:p>
        </w:tc>
      </w:tr>
      <w:tr>
        <w:tc>
          <w:tcPr>
            <w:tcW w:type="dxa" w:w="1560"/>
          </w:tcPr>
          <w:p>
            <w:r>
              <w:rPr>
                <w:sz w:val="18"/>
              </w:rPr>
              <w:t>Sensibilidade IA/ML</w:t>
            </w:r>
          </w:p>
        </w:tc>
        <w:tc>
          <w:tcPr>
            <w:tcW w:type="dxa" w:w="1560"/>
          </w:tcPr>
          <w:p>
            <w:r>
              <w:rPr>
                <w:sz w:val="18"/>
              </w:rPr>
              <w:t>Crossref</w:t>
            </w:r>
          </w:p>
        </w:tc>
        <w:tc>
          <w:tcPr>
            <w:tcW w:type="dxa" w:w="1560"/>
          </w:tcPr>
          <w:p>
            <w:r>
              <w:rPr>
                <w:sz w:val="18"/>
              </w:rPr>
              <w:t>12/07/2026</w:t>
            </w:r>
          </w:p>
        </w:tc>
        <w:tc>
          <w:tcPr>
            <w:tcW w:type="dxa" w:w="1560"/>
          </w:tcPr>
          <w:p>
            <w:r>
              <w:rPr>
                <w:sz w:val="18"/>
              </w:rPr>
              <w:t>10 em query.bibliographic</w:t>
            </w:r>
          </w:p>
        </w:tc>
        <w:tc>
          <w:tcPr>
            <w:tcW w:type="dxa" w:w="1560"/>
          </w:tcPr>
          <w:p>
            <w:r>
              <w:rPr>
                <w:sz w:val="18"/>
              </w:rPr>
              <w:t>2.000</w:t>
            </w:r>
          </w:p>
        </w:tc>
        <w:tc>
          <w:tcPr>
            <w:tcW w:type="dxa" w:w="1560"/>
          </w:tcPr>
          <w:p>
            <w:r>
              <w:rPr>
                <w:sz w:val="18"/>
              </w:rPr>
              <w:t>Consultas preservadas; 1.993 após deduplicação interna.</w:t>
            </w:r>
          </w:p>
        </w:tc>
      </w:tr>
      <w:tr>
        <w:tc>
          <w:tcPr>
            <w:tcW w:type="dxa" w:w="1560"/>
          </w:tcPr>
          <w:p>
            <w:r>
              <w:rPr>
                <w:sz w:val="18"/>
              </w:rPr>
              <w:t>(lr)1-6</w:t>
            </w:r>
          </w:p>
        </w:tc>
        <w:tc>
          <w:tcPr>
            <w:tcW w:type="dxa" w:w="1560"/>
          </w:tcPr>
          <w:p>
            <w:r>
              <w:rPr>
                <w:sz w:val="18"/>
              </w:rPr>
              <w:t>6.728</w:t>
            </w:r>
          </w:p>
        </w:tc>
        <w:tc>
          <w:tcPr>
            <w:tcW w:type="dxa" w:w="1560"/>
          </w:tcPr>
          <w:p>
            <w:r>
              <w:rPr>
                <w:sz w:val="18"/>
              </w:rPr>
              <w:t>12 consultas, antes da deduplicação.</w:t>
            </w:r>
          </w:p>
        </w:tc>
        <w:tc>
          <w:tcPr>
            <w:tcW w:type="dxa" w:w="1560"/>
          </w:tcPr>
          <w:p>
            <w:r>
              <w:rPr>
                <w:sz w:val="18"/>
              </w:rPr>
            </w:r>
          </w:p>
        </w:tc>
        <w:tc>
          <w:tcPr>
            <w:tcW w:type="dxa" w:w="1560"/>
          </w:tcPr>
          <w:p>
            <w:r>
              <w:rPr>
                <w:sz w:val="18"/>
              </w:rPr>
            </w:r>
          </w:p>
        </w:tc>
        <w:tc>
          <w:tcPr>
            <w:tcW w:type="dxa" w:w="1560"/>
          </w:tcPr>
          <w:p>
            <w:r>
              <w:rPr>
                <w:sz w:val="18"/>
              </w:rPr>
            </w:r>
          </w:p>
        </w:tc>
      </w:tr>
    </w:tbl>
    <w:p/>
    <w:p>
      <w:pPr>
        <w:pStyle w:val="BodyText"/>
      </w:pPr>
      <w:r>
        <w:t xml:space="preserve">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4</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5</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6</w:t>
        </w:r>
      </w:hyperlink>
      <w:r>
        <w:t xml:space="preserve"> </w:t>
      </w:r>
      <w:r>
        <w:t xml:space="preserve">preserva a rastreabilidade detalhada da busca principal até o núcleo original de 104 registros. A Figura </w:t>
      </w:r>
      <w:hyperlink w:anchor="fig:funil">
        <w:r>
          <w:rPr>
            <w:rStyle w:val="Hyperlink"/>
          </w:rPr>
          <w:t xml:space="preserve">1</w:t>
        </w:r>
      </w:hyperlink>
      <w:r>
        <w:t xml:space="preserve"> </w:t>
      </w:r>
      <w:r>
        <w:t xml:space="preserve">integra esse percurso à busca complementar de sensibilidade e explicita a convergência no núcleo temático vigente de 121 registros.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jc w:val="center"/>
      </w:pPr>
      <w:r>
        <w:drawing>
          <wp:inline>
            <wp:extent cx="5669280" cy="2752897"/>
            <wp:docPr id="59" name="Picture 59"/>
            <wp:cNvGraphicFramePr>
              <a:graphicFrameLocks noChangeAspect="1"/>
            </wp:cNvGraphicFramePr>
            <a:graphic>
              <a:graphicData uri="http://schemas.openxmlformats.org/drawingml/2006/picture">
                <pic:pic>
                  <pic:nvPicPr>
                    <pic:cNvPr id="0" name="figura_tikz_1.png"/>
                    <pic:cNvPicPr/>
                  </pic:nvPicPr>
                  <pic:blipFill>
                    <a:blip r:embed="rId9"/>
                    <a:stretch>
                      <a:fillRect/>
                    </a:stretch>
                  </pic:blipFill>
                  <pic:spPr>
                    <a:xfrm>
                      <a:off x="0" y="0"/>
                      <a:ext cx="5669280" cy="2752897"/>
                    </a:xfrm>
                    <a:prstGeom prst="rect"/>
                  </pic:spPr>
                </pic:pic>
              </a:graphicData>
            </a:graphic>
          </wp:inline>
        </w:drawing>
      </w:r>
    </w:p>
    <w:p>
      <w:pPr>
        <w:pStyle w:val="ImageCaption"/>
      </w:pPr>
      <w:r>
        <w:t xml:space="preserve">Fluxo integrado da busca principal e da busca complementar de sensibilidade</w:t>
      </w:r>
    </w:p>
    <w:p>
      <w:pPr>
        <w:pStyle w:val="BodyText"/>
      </w:pPr>
      <w:r>
        <w:t xml:space="preserve">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3</w:t>
        </w:r>
      </w:hyperlink>
      <w:r>
        <w:t xml:space="preserve">)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manual de codificação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pois plataformas digitais, modelos treinados e mecanismos de decisão ocupam níveis analíticos distintos</w:t>
      </w:r>
      <w:r>
        <w:t xml:space="preserve"> </w:t>
      </w:r>
      <w:r>
        <w:t xml:space="preserve">(Deng, Menassa, and Kamat 2021; Das 2025)</w:t>
      </w:r>
      <w:r>
        <w:t xml:space="preserve">.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pPr>
      <w:r>
        <w:t xml:space="preserve">Os registros com aplicação de IA e 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Gráfico </w:t>
      </w:r>
      <w:hyperlink w:anchor="fig:fontes372">
        <w:r>
          <w:rPr>
            <w:rStyle w:val="Hyperlink"/>
          </w:rPr>
          <w:t xml:space="preserve">2</w:t>
        </w:r>
      </w:hyperlink>
      <w:r>
        <w:t xml:space="preserve"> </w:t>
      </w:r>
      <w:r>
        <w:t xml:space="preserve">sintetiza a distribuição editorial do corpus, composto por 208 fontes.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Gráfico </w:t>
      </w:r>
      <w:hyperlink w:anchor="fig:mapatematico372">
        <w:r>
          <w:rPr>
            <w:rStyle w:val="Hyperlink"/>
          </w:rPr>
          <w:t xml:space="preserve">3</w:t>
        </w:r>
      </w:hyperlink>
      <w:r>
        <w:t xml:space="preserve"> </w:t>
      </w:r>
      <w:r>
        <w:t xml:space="preserve">apresenta o mapa temático, no qual foram identificados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O Gráfico </w:t>
      </w:r>
      <w:hyperlink w:anchor="fig:redecor372">
        <w:r>
          <w:rPr>
            <w:rStyle w:val="Hyperlink"/>
          </w:rPr>
          <w:t xml:space="preserve">4</w:t>
        </w:r>
      </w:hyperlink>
      <w:r>
        <w:t xml:space="preserve"> </w:t>
      </w:r>
      <w:r>
        <w:t xml:space="preserve">mostra a rede normalizada, que reforça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O Gráfico </w:t>
      </w:r>
      <w:hyperlink w:anchor="fig:evolucaotematica372">
        <w:r>
          <w:rPr>
            <w:rStyle w:val="Hyperlink"/>
          </w:rPr>
          <w:t xml:space="preserve">5</w:t>
        </w:r>
      </w:hyperlink>
      <w:r>
        <w:t xml:space="preserve"> </w:t>
      </w:r>
      <w:r>
        <w:t xml:space="preserve">compara os períodos e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Esse resultado descreve a estrutura documental do campo, mas não demonstra maturidade decisória. Por isso, as seções seguintes usam o núcleo temático de 121 registros para examinar se tais temas se convertem em dimensões, critérios, métodos e regras aplicáveis à priorização pública universitária.</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7</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p>
      <w:pPr>
        <w:pStyle w:val="BodyText"/>
      </w:pPr>
      <w:r>
        <w:t xml:space="preserve">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p>
    <w:bookmarkEnd w:id="43"/>
    <w:bookmarkStart w:id="47" w:name="sec:criterios"/>
    <w:p>
      <w:pPr>
        <w:pStyle w:val="Heading1"/>
      </w:pPr>
      <w:r>
        <w:t xml:space="preserve">Critérios de sustentabilidade e priorização</w:t>
      </w:r>
    </w:p>
    <w:p>
      <w:pPr>
        <w:pStyle w:val="FirstParagraph"/>
      </w:pPr>
      <w:r>
        <w:t xml:space="preserve">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Em resposta à RQ3, 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w:t>
      </w:r>
    </w:p>
    <w:p>
      <w:pPr>
        <w:pStyle w:val="BodyText"/>
      </w:pPr>
      <w:r>
        <w:t xml:space="preserve">Esses resultados não tornam BIM,</w:t>
      </w:r>
      <w:r>
        <w:t xml:space="preserve"> </w:t>
      </w:r>
      <w:r>
        <w:rPr>
          <w:iCs/>
          <w:i/>
        </w:rPr>
        <w:t xml:space="preserve">digital twin</w:t>
      </w:r>
      <w:r>
        <w:t xml:space="preserve"> </w:t>
      </w:r>
      <w:r>
        <w:t xml:space="preserve">ou aprendizado de máquina requisitos para a aplicação do protocolo. Como proposição deste artigo, a arquitetura deve funcionar com planilhas, cadastros, inspeções e ordens de serviço e admitir integração progressiva a plataformas digitais ou módulos preditivos, condicionada à validação do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w:t>
      </w:r>
      <w:r>
        <w:t xml:space="preserve"> </w:t>
      </w:r>
      <w:r>
        <w:t xml:space="preserve">(Motuzienė et al. 2025)</w:t>
      </w:r>
      <w:r>
        <w:t xml:space="preserve">; regressão em grafos para estimar vida útil de componentes, na qual a GCN alcançou</w:t>
      </w:r>
      <w:r>
        <w:t xml:space="preserve"> </w:t>
      </w:r>
      <m:oMath>
        <m:sSup>
          <m:e>
            <m:r>
              <m:t>R</m:t>
            </m:r>
          </m:e>
          <m:sup>
            <m:r>
              <m:t>2</m:t>
            </m:r>
          </m:sup>
        </m:sSup>
        <m:r>
          <m:rPr>
            <m:sty m:val="p"/>
          </m:rPr>
          <m:t>=</m:t>
        </m:r>
        <m:r>
          <m:t>0</m:t>
        </m:r>
        <m:r>
          <m:rPr>
            <m:sty m:val="p"/>
          </m:rPr>
          <m:t>,</m:t>
        </m:r>
        <m:r>
          <m:t>83</m:t>
        </m:r>
      </m:oMath>
      <w:r>
        <w:t xml:space="preserve"> </w:t>
      </w:r>
      <w:r>
        <w:t xml:space="preserve">(Wu and Mundt-Petersen 2025)</w:t>
      </w:r>
      <w:r>
        <w:t xml:space="preserve">; e previsão conjunta de eletricidade, gás e água, com separação entre treino, validação e teste e erros distintos por variável</w:t>
      </w:r>
      <w:r>
        <w:t xml:space="preserve"> </w:t>
      </w:r>
      <w:r>
        <w:t xml:space="preserve">(Suh and Chang 2012)</w:t>
      </w:r>
      <w:r>
        <w:t xml:space="preserve">.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pPr>
      <w:r>
        <w:t xml:space="preserve">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w:t>
      </w:r>
      <w:r>
        <w:t xml:space="preserve"> </w:t>
      </w:r>
      <w:r>
        <w:t xml:space="preserve">(Das 2025)</w:t>
      </w:r>
      <w:r>
        <w:t xml:space="preserve">.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w:t>
      </w:r>
      <w:r>
        <w:t xml:space="preserve"> </w:t>
      </w:r>
      <w:r>
        <w:t xml:space="preserve">(Alici 2026)</w:t>
      </w:r>
      <w:r>
        <w:t xml:space="preserve">. Assim, a resposta à RQ6 é que a busca de sensibilidade revela uma camada relevante de produção de evidências preditivas, diagnósticas e operacionais, porém não demonstra integração sistemática desses resultados com ponderação institucional, regras de veto ou métodos multicritério. O módulo computacional pode informar critérios; não substitui a decisão pública.</w:t>
      </w:r>
    </w:p>
    <w:p>
      <w:pPr>
        <w:pStyle w:val="BodyText"/>
      </w:pPr>
      <w:r>
        <w:t xml:space="preserve">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Essa distribuição não estima prevalência no campo, pois decorre de uma busca construída para maximizar a recuperação de IA e aprendizado de máquina. Ela esclarece, contudo, o lugar desses métodos na arquitetura proposta: em três estudos a saída se aproxima de uma ação operacional ou recomendação direta, enquanto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pPr>
      <w:r>
        <w:t xml:space="preserve">Além do lote de sensibilidade, as leituras integrais do núcleo original distinguem integração informacional, simulação e estruturação decisória. A revisão de 123 estudos não encontrou</w:t>
      </w:r>
      <w:r>
        <w:t xml:space="preserve"> </w:t>
      </w:r>
      <w:r>
        <w:rPr>
          <w:iCs/>
          <w:i/>
        </w:rPr>
        <w:t xml:space="preserve">digital twin</w:t>
      </w:r>
      <w:r>
        <w:t xml:space="preserve"> </w:t>
      </w:r>
      <w:r>
        <w:t xml:space="preserve">com controle, otimização e retroalimentação plenos</w:t>
      </w:r>
      <w:r>
        <w:t xml:space="preserve"> </w:t>
      </w:r>
      <w:r>
        <w:t xml:space="preserve">(Deng, Menassa, and Kamat 2021)</w:t>
      </w:r>
      <w:r>
        <w:t xml:space="preserve">; outros trabalhos propõem ontologia de ativos, BIM 7D e comparação de estratégias por simulação</w:t>
      </w:r>
      <w:r>
        <w:t xml:space="preserve"> </w:t>
      </w:r>
      <w:r>
        <w:t xml:space="preserve">(Espinosa Gispert et al. 2025; Goretti and Kaming 2023; Ferreira et al. 2020)</w:t>
      </w:r>
      <w:r>
        <w:t xml:space="preserve">. No plano decisório, foram identificados um sistema conceitual Lean Six Sigma sem validação empírica, uma avaliação sintética fuzzy e um modelo de raciocínio baseado em casos com Fuzzy-AHP</w:t>
      </w:r>
      <w:r>
        <w:t xml:space="preserve"> </w:t>
      </w:r>
      <w:r>
        <w:t xml:space="preserve">(Aldairi, Khan, and Munive-Hernandez 2017; Yoon and Cha 2018; Park, Kwon, and Ahn 2019)</w:t>
      </w:r>
      <w:r>
        <w:t xml:space="preserve">. Esses casos confirmam que menção a método, aplicação formal e validação são níveis analíticos distintos; não demonstram adoção institucional generalizada.</w:t>
      </w:r>
    </w:p>
    <w:bookmarkEnd w:id="51"/>
    <w:bookmarkStart w:id="52" w:name="sec:aplicabilidade"/>
    <w:p>
      <w:pPr>
        <w:pStyle w:val="Heading1"/>
      </w:pPr>
      <w:r>
        <w:t xml:space="preserve">Aplicabilidade a edificações públicas universitárias</w:t>
      </w:r>
    </w:p>
    <w:p>
      <w:pPr>
        <w:pStyle w:val="FirstParagraph"/>
      </w:pPr>
      <w: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r>
        <w:tc>
          <w:tcPr>
            <w:tcW w:type="dxa" w:w="3120"/>
          </w:tcPr>
          <w:p>
            <w:r>
              <w:rPr>
                <w:sz w:val="18"/>
              </w:rPr>
              <w:t>Não identificado no resumo</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w:t>
      </w:r>
      <w:r>
        <w:t xml:space="preserve"> </w:t>
      </w:r>
      <w:r>
        <w:t xml:space="preserve">(Lateef, Khamidi, and Idrus 2010; Barbosa et al. 2020)</w:t>
      </w:r>
      <w:r>
        <w:t xml:space="preserve">.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Em resposta à RQ5, a baixa frequência de universidade,</w:t>
      </w:r>
      <w:r>
        <w:t xml:space="preserve"> </w:t>
      </w:r>
      <w:r>
        <w:rPr>
          <w:iCs/>
          <w:i/>
        </w:rPr>
        <w:t xml:space="preserve">campus</w:t>
      </w:r>
      <w:r>
        <w:t xml:space="preserve"> </w:t>
      </w:r>
      <w:r>
        <w:t xml:space="preserve">e edifício público limita a evidência diretamente transferível a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10</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11</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Critério</w:t>
            </w:r>
          </w:p>
        </w:tc>
        <w:tc>
          <w:tcPr>
            <w:tcW w:type="dxa" w:w="2340"/>
          </w:tcPr>
          <w:p>
            <w:r>
              <w:rPr>
                <w:b/>
                <w:sz w:val="18"/>
              </w:rPr>
              <w:t>Indicador candidato</w:t>
            </w:r>
          </w:p>
        </w:tc>
        <w:tc>
          <w:tcPr>
            <w:tcW w:type="dxa" w:w="2340"/>
          </w:tcPr>
          <w:p>
            <w:r>
              <w:rPr>
                <w:b/>
                <w:sz w:val="18"/>
              </w:rPr>
              <w:t>Fonte</w:t>
            </w:r>
          </w:p>
        </w:tc>
        <w:tc>
          <w:tcPr>
            <w:tcW w:type="dxa" w:w="2340"/>
          </w:tcPr>
          <w:p>
            <w:r>
              <w:rPr>
                <w:b/>
                <w:sz w:val="18"/>
              </w:rPr>
              <w:t>Periodicidade; preferência</w:t>
            </w:r>
          </w:p>
        </w:tc>
      </w:tr>
      <w:tr>
        <w:tc>
          <w:tcPr>
            <w:tcW w:type="dxa" w:w="2340"/>
          </w:tcPr>
          <w:p>
            <w:r>
              <w:rPr>
                <w:sz w:val="18"/>
              </w:rPr>
              <w:t>Desempenho e falha</w:t>
            </w:r>
          </w:p>
        </w:tc>
        <w:tc>
          <w:tcPr>
            <w:tcW w:type="dxa" w:w="2340"/>
          </w:tcPr>
          <w:p>
            <w:r>
              <w:rPr>
                <w:sz w:val="18"/>
              </w:rPr>
              <w:t>Ordens recorrentes por sistema, % das ordens</w:t>
            </w:r>
          </w:p>
        </w:tc>
        <w:tc>
          <w:tcPr>
            <w:tcW w:type="dxa" w:w="2340"/>
          </w:tcPr>
          <w:p>
            <w:r>
              <w:rPr>
                <w:sz w:val="18"/>
              </w:rPr>
              <w:t>Ordens de serviço</w:t>
            </w:r>
          </w:p>
        </w:tc>
        <w:tc>
          <w:tcPr>
            <w:tcW w:type="dxa" w:w="2340"/>
          </w:tcPr>
          <w:p>
            <w:r>
              <w:rPr>
                <w:sz w:val="18"/>
              </w:rPr>
              <w:t>Mensal; menor</w:t>
            </w:r>
          </w:p>
        </w:tc>
      </w:tr>
      <w:tr>
        <w:tc>
          <w:tcPr>
            <w:tcW w:type="dxa" w:w="2340"/>
          </w:tcPr>
          <w:p>
            <w:r>
              <w:rPr>
                <w:sz w:val="18"/>
              </w:rPr>
              <w:t>Informação e dados</w:t>
            </w:r>
          </w:p>
        </w:tc>
        <w:tc>
          <w:tcPr>
            <w:tcW w:type="dxa" w:w="2340"/>
          </w:tcPr>
          <w:p>
            <w:r>
              <w:rPr>
                <w:sz w:val="18"/>
              </w:rPr>
              <w:t>Ativos com cadastro e histórico completos, %</w:t>
            </w:r>
          </w:p>
        </w:tc>
        <w:tc>
          <w:tcPr>
            <w:tcW w:type="dxa" w:w="2340"/>
          </w:tcPr>
          <w:p>
            <w:r>
              <w:rPr>
                <w:sz w:val="18"/>
              </w:rPr>
              <w:t>Cadastro e ordens</w:t>
            </w:r>
          </w:p>
        </w:tc>
        <w:tc>
          <w:tcPr>
            <w:tcW w:type="dxa" w:w="2340"/>
          </w:tcPr>
          <w:p>
            <w:r>
              <w:rPr>
                <w:sz w:val="18"/>
              </w:rPr>
              <w:t>Trimestral; maior</w:t>
            </w:r>
          </w:p>
        </w:tc>
      </w:tr>
      <w:tr>
        <w:tc>
          <w:tcPr>
            <w:tcW w:type="dxa" w:w="2340"/>
          </w:tcPr>
          <w:p>
            <w:r>
              <w:rPr>
                <w:sz w:val="18"/>
              </w:rPr>
              <w:t>Condição e vida útil</w:t>
            </w:r>
          </w:p>
        </w:tc>
        <w:tc>
          <w:tcPr>
            <w:tcW w:type="dxa" w:w="2340"/>
          </w:tcPr>
          <w:p>
            <w:r>
              <w:rPr>
                <w:sz w:val="18"/>
              </w:rPr>
              <w:t>Índice de condição, escala institucional</w:t>
            </w:r>
          </w:p>
        </w:tc>
        <w:tc>
          <w:tcPr>
            <w:tcW w:type="dxa" w:w="2340"/>
          </w:tcPr>
          <w:p>
            <w:r>
              <w:rPr>
                <w:sz w:val="18"/>
              </w:rPr>
              <w:t>Inspeção e cadastro</w:t>
            </w:r>
          </w:p>
        </w:tc>
        <w:tc>
          <w:tcPr>
            <w:tcW w:type="dxa" w:w="2340"/>
          </w:tcPr>
          <w:p>
            <w:r>
              <w:rPr>
                <w:sz w:val="18"/>
              </w:rPr>
              <w:t>Semestral; maior</w:t>
            </w:r>
          </w:p>
        </w:tc>
      </w:tr>
      <w:tr>
        <w:tc>
          <w:tcPr>
            <w:tcW w:type="dxa" w:w="2340"/>
          </w:tcPr>
          <w:p>
            <w:r>
              <w:rPr>
                <w:sz w:val="18"/>
              </w:rPr>
              <w:t>Conformidade</w:t>
            </w:r>
          </w:p>
        </w:tc>
        <w:tc>
          <w:tcPr>
            <w:tcW w:type="dxa" w:w="2340"/>
          </w:tcPr>
          <w:p>
            <w:r>
              <w:rPr>
                <w:sz w:val="18"/>
              </w:rPr>
              <w:t>Requisitos atendidos, %</w:t>
            </w:r>
          </w:p>
        </w:tc>
        <w:tc>
          <w:tcPr>
            <w:tcW w:type="dxa" w:w="2340"/>
          </w:tcPr>
          <w:p>
            <w:r>
              <w:rPr>
                <w:sz w:val="18"/>
              </w:rPr>
              <w:t>Laudos e auditorias</w:t>
            </w:r>
          </w:p>
        </w:tc>
        <w:tc>
          <w:tcPr>
            <w:tcW w:type="dxa" w:w="2340"/>
          </w:tcPr>
          <w:p>
            <w:r>
              <w:rPr>
                <w:sz w:val="18"/>
              </w:rPr>
              <w:t>Anual; maior</w:t>
            </w:r>
          </w:p>
        </w:tc>
      </w:tr>
      <w:tr>
        <w:tc>
          <w:tcPr>
            <w:tcW w:type="dxa" w:w="2340"/>
          </w:tcPr>
          <w:p>
            <w:r>
              <w:rPr>
                <w:sz w:val="18"/>
              </w:rPr>
              <w:t>Custo</w:t>
            </w:r>
          </w:p>
        </w:tc>
        <w:tc>
          <w:tcPr>
            <w:tcW w:type="dxa" w:w="2340"/>
          </w:tcPr>
          <w:p>
            <w:r>
              <w:rPr>
                <w:sz w:val="18"/>
              </w:rPr>
              <w:t>Custo estimado por área, R$/m</w:t>
            </w:r>
          </w:p>
        </w:tc>
        <w:tc>
          <w:tcPr>
            <w:tcW w:type="dxa" w:w="2340"/>
          </w:tcPr>
          <w:p>
            <w:r>
              <w:rPr>
                <w:sz w:val="18"/>
              </w:rPr>
              <w:t>Orçamentos e SINAPI</w:t>
            </w:r>
          </w:p>
        </w:tc>
        <w:tc>
          <w:tcPr>
            <w:tcW w:type="dxa" w:w="2340"/>
          </w:tcPr>
          <w:p>
            <w:r>
              <w:rPr>
                <w:sz w:val="18"/>
              </w:rPr>
              <w:t>Semestral; menor</w:t>
            </w:r>
          </w:p>
        </w:tc>
      </w:tr>
      <w:tr>
        <w:tc>
          <w:tcPr>
            <w:tcW w:type="dxa" w:w="2340"/>
          </w:tcPr>
          <w:p>
            <w:r>
              <w:rPr>
                <w:sz w:val="18"/>
              </w:rPr>
              <w:t>Energia</w:t>
            </w:r>
          </w:p>
        </w:tc>
        <w:tc>
          <w:tcPr>
            <w:tcW w:type="dxa" w:w="2340"/>
          </w:tcPr>
          <w:p>
            <w:r>
              <w:rPr>
                <w:sz w:val="18"/>
              </w:rPr>
              <w:t>Consumo anual por área, kWh/m/ano</w:t>
            </w:r>
          </w:p>
        </w:tc>
        <w:tc>
          <w:tcPr>
            <w:tcW w:type="dxa" w:w="2340"/>
          </w:tcPr>
          <w:p>
            <w:r>
              <w:rPr>
                <w:sz w:val="18"/>
              </w:rPr>
              <w:t>Faturas ou medidores</w:t>
            </w:r>
          </w:p>
        </w:tc>
        <w:tc>
          <w:tcPr>
            <w:tcW w:type="dxa" w:w="2340"/>
          </w:tcPr>
          <w:p>
            <w:r>
              <w:rPr>
                <w:sz w:val="18"/>
              </w:rPr>
              <w:t>Mensal; menor</w:t>
            </w:r>
          </w:p>
        </w:tc>
      </w:tr>
      <w:tr>
        <w:tc>
          <w:tcPr>
            <w:tcW w:type="dxa" w:w="2340"/>
          </w:tcPr>
          <w:p>
            <w:r>
              <w:rPr>
                <w:sz w:val="18"/>
              </w:rPr>
              <w:t>Impacto nos usuários</w:t>
            </w:r>
          </w:p>
        </w:tc>
        <w:tc>
          <w:tcPr>
            <w:tcW w:type="dxa" w:w="2340"/>
          </w:tcPr>
          <w:p>
            <w:r>
              <w:rPr>
                <w:sz w:val="18"/>
              </w:rPr>
              <w:t>Reclamações por 100 usuários</w:t>
            </w:r>
          </w:p>
        </w:tc>
        <w:tc>
          <w:tcPr>
            <w:tcW w:type="dxa" w:w="2340"/>
          </w:tcPr>
          <w:p>
            <w:r>
              <w:rPr>
                <w:sz w:val="18"/>
              </w:rPr>
              <w:t>Ouvidoria e chamados</w:t>
            </w:r>
          </w:p>
        </w:tc>
        <w:tc>
          <w:tcPr>
            <w:tcW w:type="dxa" w:w="2340"/>
          </w:tcPr>
          <w:p>
            <w:r>
              <w:rPr>
                <w:sz w:val="18"/>
              </w:rPr>
              <w:t>Trimestral; 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jc w:val="center"/>
      </w:pPr>
      <w:r>
        <w:drawing>
          <wp:inline>
            <wp:extent cx="5669280" cy="1970982"/>
            <wp:docPr id="60" name="Picture 60"/>
            <wp:cNvGraphicFramePr>
              <a:graphicFrameLocks noChangeAspect="1"/>
            </wp:cNvGraphicFramePr>
            <a:graphic>
              <a:graphicData uri="http://schemas.openxmlformats.org/drawingml/2006/picture">
                <pic:pic>
                  <pic:nvPicPr>
                    <pic:cNvPr id="0" name="figura_tikz_2.png"/>
                    <pic:cNvPicPr/>
                  </pic:nvPicPr>
                  <pic:blipFill>
                    <a:blip r:embed="rId10"/>
                    <a:stretch>
                      <a:fillRect/>
                    </a:stretch>
                  </pic:blipFill>
                  <pic:spPr>
                    <a:xfrm>
                      <a:off x="0" y="0"/>
                      <a:ext cx="5669280" cy="1970982"/>
                    </a:xfrm>
                    <a:prstGeom prst="rect"/>
                  </pic:spPr>
                </pic:pic>
              </a:graphicData>
            </a:graphic>
          </wp:inline>
        </w:drawing>
      </w:r>
    </w:p>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conforme a função observada desses métodos em aplicações prediais</w:t>
      </w:r>
      <w:r>
        <w:t xml:space="preserve"> </w:t>
      </w:r>
      <w:r>
        <w:t xml:space="preserve">(Alfalah et al. 2022; Naji, Gunduz, and Maki 2023; Masmoudi et al. 2026)</w:t>
      </w:r>
      <w:r>
        <w:t xml:space="preserve">.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w:t>
      </w:r>
      <w:r>
        <w:t xml:space="preserve"> </w:t>
      </w:r>
      <w:r>
        <w:t xml:space="preserve">(Associação Brasileira de Normas Técnicas 2012; Araújo Neto 2015)</w:t>
      </w:r>
      <w:r>
        <w:t xml:space="preserve">. O ciclo de vida permanece transversal para evitar dupla contagem.</w:t>
      </w:r>
    </w:p>
    <w:p>
      <w:pPr>
        <w:pStyle w:val="BodyText"/>
      </w:pPr>
      <w:r>
        <w:t xml:space="preserve">Em nível arquitetural, a matriz completa a resposta à RQ0 ao converter dimensões e critérios recorrentes em indicadores candidatos, fontes, periodicidade, direção de preferência e salvaguardas. Ela não é um modelo validado nem um instrumento pronto para decisão; indicadores, pesos, limiares e regras requerem participação institucional e teste com dados reais.</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 síntese das leituras integrais na Seção </w:t>
      </w:r>
      <w:hyperlink w:anchor="sec:metodos">
        <w:r>
          <w:rPr>
            <w:rStyle w:val="Hyperlink"/>
          </w:rPr>
          <w:t xml:space="preserve">7</w:t>
        </w:r>
      </w:hyperlink>
      <w:r>
        <w:t xml:space="preserve"> </w:t>
      </w:r>
      <w:r>
        <w:t xml:space="preserve">mostra que essa conexão abrange integração de dados, previsão, simulação e estruturação decisória parcial.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w:t>
      </w:r>
    </w:p>
    <w:p>
      <w:pPr>
        <w:pStyle w:val="BodyText"/>
      </w:pPr>
      <w:r>
        <w:t xml:space="preserve">Sete registros do núcleo original, previamente classificados como secundários ou excluídos, foram reavaliados sob esse critério porque o dicionário de perguntas de pesquisa vigente até então (RQ0 a RQ5) não continha termos dedicados a IA e aprendizado de máquina; cinco foram promovidos ao núcleo principal por evidenciarem técnica computacional efetivamente aplicada, não por reinterpretação do conteúdo original dos estudos.</w:t>
      </w:r>
    </w:p>
    <w:p>
      <w:pPr>
        <w:pStyle w:val="BodyText"/>
      </w:pPr>
      <w:r>
        <w:t xml:space="preserve">A leitura comparativa detalhada na Seção </w:t>
      </w:r>
      <w:hyperlink w:anchor="sec:metodos">
        <w:r>
          <w:rPr>
            <w:rStyle w:val="Hyperlink"/>
          </w:rPr>
          <w:t xml:space="preserve">7</w:t>
        </w:r>
      </w:hyperlink>
      <w:r>
        <w:t xml:space="preserve"> </w:t>
      </w:r>
      <w:r>
        <w:t xml:space="preserve">também desloca a discussão de uma oposição simplista entre métodos tradicionais e IA. Os estudos mostram que técnicas treinadas podem produzir estimativas úteis à gestão, mas também registram fragmentação temática e barreiras de interoperabilidade, privacidade, governança de dados e representatividade geográfica. Portanto, acurácia preditiva e legitimidade decisória pertencem a níveis distintos. Para uma universidade pública, mesmo um modelo tecnicamente adequado precisa explicitar origem e atualidade dos dados, domínio de validade, tratamento de erro e dados ausentes, responsável pela decisão e possibilidade de contestação.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 ausência de critérios, mas a falta de uma cadeia documentada entre evidência, variável mensurável, preferência institucional e decisão validada. Esse resultado responde à RQ0 ao indicar que a literatura fornece componentes para o protocolo, mas não um modelo diretamente transferível à gestão universitária pública.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Como proposição deste artigo, o protocolo procura reduzir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Como agenda de validação derivada da síntese, recomenda-se validar o conteúdo antes dos pesos, integrar dados administrativos, elicitar preferências com participação institucional, testar sensibilidade e comparar resultados entre unidades. Essa sequência delimita como a arquitetura proposta poderá ser testada sem lhe atribuir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pPr>
      <w:r>
        <w:rPr>
          <w:bCs/>
          <w:b/>
        </w:rPr>
        <w:t xml:space="preserve">Extração e força de evidência.</w:t>
      </w:r>
      <w:r>
        <w:t xml:space="preserve"> </w:t>
      </w:r>
      <w:r>
        <w:t xml:space="preserve">O núcleo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pPr>
      <w:r>
        <w:rPr>
          <w:bCs/>
          <w:b/>
        </w:rPr>
        <w:t xml:space="preserve">Busca de sensibilidade para IA.</w:t>
      </w:r>
      <w:r>
        <w:t xml:space="preserve"> </w:t>
      </w:r>
      <w:r>
        <w:t xml:space="preserve">Os 4.889 registros foram classificados por correspondência de termos ao dicionário RQ6; somente os 20 candidatos ao núcleo tiveram título e resumo revisados individualmente.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não a prevalência dessas técnicas no campo.</w:t>
      </w:r>
    </w:p>
    <w:p>
      <w:pPr>
        <w:pStyle w:val="BodyText"/>
      </w:pPr>
      <w:r>
        <w:rPr>
          <w:bCs/>
          <w:b/>
        </w:rPr>
        <w:t xml:space="preserve">Protocolo.</w:t>
      </w:r>
      <w:r>
        <w:t xml:space="preserve"> </w:t>
      </w:r>
      <w:r>
        <w:t xml:space="preserve">Indicadores e regras constituem especificação candidata. Pesos, limiares, agregação e sensibilidade ainda dependem de validação de conteúdo, participação institucional, dados reais e teste de robustez.</w:t>
      </w:r>
    </w:p>
    <w:bookmarkEnd w:id="65"/>
    <w:bookmarkStart w:id="150"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Em resposta à RQ6,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se validado institucionalmente, poderá oferecer um caminho transparente para justificar sua aplicação e tornar a priorização da manutenção um ato de governança auditável.</w:t>
      </w:r>
    </w:p>
    <w:p>
      <w:pPr>
        <w:pStyle w:val="BodyText"/>
      </w:pPr>
      <w:r>
        <w:t xml:space="preserve">Como proposição dos autores, a validação futura pode ser organizada em quatro etapas sequenciais, sem que os intervalos de duração sejam definidos antes do diagnóstico institucional:</w:t>
      </w:r>
    </w:p>
    <w:p>
      <w:pPr>
        <w:numPr>
          <w:ilvl w:val="0"/>
          <w:numId w:val="1001"/>
        </w:numPr>
      </w:pPr>
      <w:r>
        <w:rPr>
          <w:bCs/>
          <w:b/>
        </w:rPr>
        <w:t xml:space="preserve">Validação de conteúdo:</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w:t>
      </w:r>
      <w:r>
        <w:t xml:space="preserve"> </w:t>
      </w:r>
      <w:r>
        <w:t xml:space="preserve">comparação entre unidades, estabilidade, utilidade decisória e transferência a outros portfólios públicos.</w:t>
      </w:r>
    </w:p>
    <w:p>
      <w:pPr>
        <w:pStyle w:val="FirstParagraph"/>
      </w:pPr>
      <w:r>
        <w:t xml:space="preserve">Até a validação empírica e institucional, a contribuição permanece uma base reproduzível e operacionalmente especificada para teste, não uma classificação pronta para orientar investimentos.</w:t>
      </w:r>
    </w:p>
    <w:bookmarkStart w:id="149"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ci_iotambientes_2026"/>
    <w:p>
      <w:pPr>
        <w:pStyle w:val="Bibliography"/>
      </w:pPr>
      <w:r>
        <w:t xml:space="preserve">Alici, Nedim. 2026.</w:t>
      </w:r>
      <w:r>
        <w:t xml:space="preserve"> </w:t>
      </w:r>
      <w:r>
        <w:t xml:space="preserve">“IoT-Enabled Indoor Environments in Smart Cities: A Systematic Review on Energy Efficiency, User Comfort, and Environmental Sustainability.”</w:t>
      </w:r>
      <w:r>
        <w:t xml:space="preserve"> </w:t>
      </w:r>
      <w:r>
        <w:rPr>
          <w:iCs/>
          <w:i/>
        </w:rPr>
        <w:t xml:space="preserve">Frontiers in Sustainability</w:t>
      </w:r>
      <w:r>
        <w:t xml:space="preserve"> </w:t>
      </w:r>
      <w:r>
        <w:t xml:space="preserve">7: 1751337.</w:t>
      </w:r>
      <w:r>
        <w:t xml:space="preserve"> </w:t>
      </w:r>
      <w:hyperlink r:id="rId70">
        <w:r>
          <w:rPr>
            <w:rStyle w:val="Hyperlink"/>
          </w:rPr>
          <w:t xml:space="preserve">https://doi.org/10.3389/frsus.2026.1751337</w:t>
        </w:r>
      </w:hyperlink>
      <w:r>
        <w:t xml:space="preserve">.</w:t>
      </w:r>
    </w:p>
    <w:bookmarkEnd w:id="71"/>
    <w:bookmarkStart w:id="73"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2">
        <w:r>
          <w:rPr>
            <w:rStyle w:val="Hyperlink"/>
          </w:rPr>
          <w:t xml:space="preserve">https://doi.org/10.21315/jcdc.2025.30.2.6</w:t>
        </w:r>
      </w:hyperlink>
      <w:r>
        <w:t xml:space="preserve">.</w:t>
      </w:r>
    </w:p>
    <w:bookmarkEnd w:id="73"/>
    <w:bookmarkStart w:id="75"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4">
        <w:r>
          <w:rPr>
            <w:rStyle w:val="Hyperlink"/>
          </w:rPr>
          <w:t xml:space="preserve">https://doi.org/10.18607/ES201532557</w:t>
        </w:r>
      </w:hyperlink>
      <w:r>
        <w:t xml:space="preserve">.</w:t>
      </w:r>
    </w:p>
    <w:bookmarkEnd w:id="75"/>
    <w:bookmarkStart w:id="76"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6"/>
    <w:bookmarkStart w:id="78"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7">
        <w:r>
          <w:rPr>
            <w:rStyle w:val="Hyperlink"/>
          </w:rPr>
          <w:t xml:space="preserve">https://doi.org/10.18820/24150487/as24i2.4</w:t>
        </w:r>
      </w:hyperlink>
      <w:r>
        <w:t xml:space="preserve">.</w:t>
      </w:r>
    </w:p>
    <w:bookmarkEnd w:id="78"/>
    <w:bookmarkStart w:id="80" w:name="X8197757cb75e327dcc86b36afee00a28411c12b"/>
    <w:p>
      <w:pPr>
        <w:pStyle w:val="Bibliography"/>
      </w:pPr>
      <w:r>
        <w:t xml:space="preserve">Barbosa, Ana Maria da Silva, Taciana de Barros Jerônimo, Patrícia Tatiana Ferreira Ramos, and Juliana Karla Rodrigues de Souza Santos. 2020.</w:t>
      </w:r>
      <w:r>
        <w:t xml:space="preserve"> </w:t>
      </w:r>
      <w:r>
        <w:t xml:space="preserve">“A Gestão de Facilities Na Manutenção de Uma Instituição Pública.”</w:t>
      </w:r>
      <w:r>
        <w:t xml:space="preserve"> </w:t>
      </w:r>
      <w:r>
        <w:rPr>
          <w:iCs/>
          <w:i/>
        </w:rPr>
        <w:t xml:space="preserve">Revista Gestão Industrial</w:t>
      </w:r>
      <w:r>
        <w:t xml:space="preserve"> </w:t>
      </w:r>
      <w:r>
        <w:t xml:space="preserve">16 (3): 129–46.</w:t>
      </w:r>
      <w:r>
        <w:t xml:space="preserve"> </w:t>
      </w:r>
      <w:hyperlink r:id="rId79">
        <w:r>
          <w:rPr>
            <w:rStyle w:val="Hyperlink"/>
          </w:rPr>
          <w:t xml:space="preserve">https://doi.org/10.3895/gi.v16n3.8968</w:t>
        </w:r>
      </w:hyperlink>
      <w:r>
        <w:t xml:space="preserve">.</w:t>
      </w:r>
    </w:p>
    <w:bookmarkEnd w:id="80"/>
    <w:bookmarkStart w:id="82"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81">
        <w:r>
          <w:rPr>
            <w:rStyle w:val="Hyperlink"/>
          </w:rPr>
          <w:t xml:space="preserve">https://doi.org/10.1108/SS-02-2016-0007</w:t>
        </w:r>
      </w:hyperlink>
      <w:r>
        <w:t xml:space="preserve">.</w:t>
      </w:r>
    </w:p>
    <w:bookmarkEnd w:id="82"/>
    <w:bookmarkStart w:id="84"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83">
        <w:r>
          <w:rPr>
            <w:rStyle w:val="Hyperlink"/>
          </w:rPr>
          <w:t xml:space="preserve">https://doi.org/10.1108/F-09-2018-0107</w:t>
        </w:r>
      </w:hyperlink>
      <w:r>
        <w:t xml:space="preserve">.</w:t>
      </w:r>
    </w:p>
    <w:bookmarkEnd w:id="84"/>
    <w:bookmarkStart w:id="86"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5">
        <w:r>
          <w:rPr>
            <w:rStyle w:val="Hyperlink"/>
          </w:rPr>
          <w:t xml:space="preserve">https://www.crossref.org/documentation/retrieve-metadata/rest-api/</w:t>
        </w:r>
      </w:hyperlink>
      <w:r>
        <w:t xml:space="preserve">.</w:t>
      </w:r>
    </w:p>
    <w:bookmarkEnd w:id="86"/>
    <w:bookmarkStart w:id="88" w:name="ref-das_iotai_2025"/>
    <w:p>
      <w:pPr>
        <w:pStyle w:val="Bibliography"/>
      </w:pPr>
      <w:r>
        <w:t xml:space="preserve">Das, Dillip Kumar. 2025.</w:t>
      </w:r>
      <w:r>
        <w:t xml:space="preserve"> </w:t>
      </w:r>
      <w:r>
        <w:t xml:space="preserve">“Integrating IoT and AI for Sustainable Energy-Efficient Smart Building: Potential, Barriers and Strategic Pathways.”</w:t>
      </w:r>
      <w:r>
        <w:t xml:space="preserve"> </w:t>
      </w:r>
      <w:r>
        <w:rPr>
          <w:iCs/>
          <w:i/>
        </w:rPr>
        <w:t xml:space="preserve">Sustainability</w:t>
      </w:r>
      <w:r>
        <w:t xml:space="preserve"> </w:t>
      </w:r>
      <w:r>
        <w:t xml:space="preserve">17 (22): 10313.</w:t>
      </w:r>
      <w:r>
        <w:t xml:space="preserve"> </w:t>
      </w:r>
      <w:hyperlink r:id="rId87">
        <w:r>
          <w:rPr>
            <w:rStyle w:val="Hyperlink"/>
          </w:rPr>
          <w:t xml:space="preserve">https://doi.org/10.3390/su172210313</w:t>
        </w:r>
      </w:hyperlink>
      <w:r>
        <w:t xml:space="preserve">.</w:t>
      </w:r>
    </w:p>
    <w:bookmarkEnd w:id="88"/>
    <w:bookmarkStart w:id="90"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9">
        <w:r>
          <w:rPr>
            <w:rStyle w:val="Hyperlink"/>
          </w:rPr>
          <w:t xml:space="preserve">https://doi.org/10.36680/j.itcon.2021.005</w:t>
        </w:r>
      </w:hyperlink>
      <w:r>
        <w:t xml:space="preserve">.</w:t>
      </w:r>
    </w:p>
    <w:bookmarkEnd w:id="90"/>
    <w:bookmarkStart w:id="92"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91">
        <w:r>
          <w:rPr>
            <w:rStyle w:val="Hyperlink"/>
          </w:rPr>
          <w:t xml:space="preserve">https://doi.org/10.1016/j.jbusres.2021.04.070</w:t>
        </w:r>
      </w:hyperlink>
      <w:r>
        <w:t xml:space="preserve">.</w:t>
      </w:r>
    </w:p>
    <w:bookmarkEnd w:id="92"/>
    <w:bookmarkStart w:id="94"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93">
        <w:r>
          <w:rPr>
            <w:rStyle w:val="Hyperlink"/>
          </w:rPr>
          <w:t xml:space="preserve">https://doi.org/10.1108/SASBE-07-2023-0170</w:t>
        </w:r>
      </w:hyperlink>
      <w:r>
        <w:t xml:space="preserve">.</w:t>
      </w:r>
    </w:p>
    <w:bookmarkEnd w:id="94"/>
    <w:bookmarkStart w:id="96"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95">
        <w:r>
          <w:rPr>
            <w:rStyle w:val="Hyperlink"/>
          </w:rPr>
          <w:t xml:space="preserve">https://doi.org/10.1080/15732479.2019.1652657</w:t>
        </w:r>
      </w:hyperlink>
      <w:r>
        <w:t xml:space="preserve">.</w:t>
      </w:r>
    </w:p>
    <w:bookmarkEnd w:id="96"/>
    <w:bookmarkStart w:id="98"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7">
        <w:r>
          <w:rPr>
            <w:rStyle w:val="Hyperlink"/>
          </w:rPr>
          <w:t xml:space="preserve">https://doi.org/10.1051/e3sconf/202342901002</w:t>
        </w:r>
      </w:hyperlink>
      <w:r>
        <w:t xml:space="preserve">.</w:t>
      </w:r>
    </w:p>
    <w:bookmarkEnd w:id="98"/>
    <w:bookmarkStart w:id="100"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9">
        <w:r>
          <w:rPr>
            <w:rStyle w:val="Hyperlink"/>
          </w:rPr>
          <w:t xml:space="preserve">https://doi.org/10.3758/s13428-026-02961-x</w:t>
        </w:r>
      </w:hyperlink>
      <w:r>
        <w:t xml:space="preserve">.</w:t>
      </w:r>
    </w:p>
    <w:bookmarkEnd w:id="100"/>
    <w:bookmarkStart w:id="102"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101">
        <w:r>
          <w:rPr>
            <w:rStyle w:val="Hyperlink"/>
          </w:rPr>
          <w:t xml:space="preserve">https://doi.org/10.1093/database/bat086</w:t>
        </w:r>
      </w:hyperlink>
      <w:r>
        <w:t xml:space="preserve">.</w:t>
      </w:r>
    </w:p>
    <w:bookmarkEnd w:id="102"/>
    <w:bookmarkStart w:id="104"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103">
        <w:r>
          <w:rPr>
            <w:rStyle w:val="Hyperlink"/>
          </w:rPr>
          <w:t xml:space="preserve">https://doi.org/10.3130/jaabe.17.307</w:t>
        </w:r>
      </w:hyperlink>
      <w:r>
        <w:t xml:space="preserve">.</w:t>
      </w:r>
    </w:p>
    <w:bookmarkEnd w:id="104"/>
    <w:bookmarkStart w:id="105" w:name="ref-lateef_manutencaouniversidade_2010"/>
    <w:p>
      <w:pPr>
        <w:pStyle w:val="Bibliography"/>
      </w:pPr>
      <w:r>
        <w:t xml:space="preserve">Lateef, Olanrewaju Abdul, Mohd Faris Khamidi, and Arazi Idrus. 2010.</w:t>
      </w:r>
      <w:r>
        <w:t xml:space="preserve"> </w:t>
      </w:r>
      <w:r>
        <w:t xml:space="preserve">“Building Maintenance Management in a Malaysian University Campuses: A Case Study.”</w:t>
      </w:r>
      <w:r>
        <w:t xml:space="preserve"> </w:t>
      </w:r>
      <w:r>
        <w:rPr>
          <w:iCs/>
          <w:i/>
        </w:rPr>
        <w:t xml:space="preserve">Australasian Journal of Construction Economics and Building</w:t>
      </w:r>
      <w:r>
        <w:t xml:space="preserve"> </w:t>
      </w:r>
      <w:r>
        <w:t xml:space="preserve">10 (1/2): 76–89.</w:t>
      </w:r>
    </w:p>
    <w:bookmarkEnd w:id="105"/>
    <w:bookmarkStart w:id="106" w:name="ref-maia_gestaoinformacaomanutencao_2016"/>
    <w:p>
      <w:pPr>
        <w:pStyle w:val="Bibliography"/>
      </w:pPr>
      <w:r>
        <w:t xml:space="preserve">Maia, Barbara Lepca, Sérgio Scheer, and Maria do Carmo Duarte Freitas. 2016.</w:t>
      </w:r>
      <w:r>
        <w:t xml:space="preserve"> </w:t>
      </w:r>
      <w:r>
        <w:t xml:space="preserve">“Manutenção Predial: A Prospecta de Decisões a Partir Da Gestão Da Informação.”</w:t>
      </w:r>
      <w:r>
        <w:t xml:space="preserve"> </w:t>
      </w:r>
      <w:r>
        <w:rPr>
          <w:iCs/>
          <w:i/>
        </w:rPr>
        <w:t xml:space="preserve">Revista de Engenharia e Tecnologia</w:t>
      </w:r>
      <w:r>
        <w:t xml:space="preserve"> </w:t>
      </w:r>
      <w:r>
        <w:t xml:space="preserve">8 (3): 37–55.</w:t>
      </w:r>
    </w:p>
    <w:bookmarkEnd w:id="106"/>
    <w:bookmarkStart w:id="108"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107">
        <w:r>
          <w:rPr>
            <w:rStyle w:val="Hyperlink"/>
          </w:rPr>
          <w:t xml:space="preserve">https://doi.org/10.47179/abcustos.v19i1.719</w:t>
        </w:r>
      </w:hyperlink>
      <w:r>
        <w:t xml:space="preserve">.</w:t>
      </w:r>
    </w:p>
    <w:bookmarkEnd w:id="108"/>
    <w:bookmarkStart w:id="110"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9">
        <w:r>
          <w:rPr>
            <w:rStyle w:val="Hyperlink"/>
          </w:rPr>
          <w:t xml:space="preserve">https://doi.org/10.1111/itor.70022</w:t>
        </w:r>
      </w:hyperlink>
      <w:r>
        <w:t xml:space="preserve">.</w:t>
      </w:r>
    </w:p>
    <w:bookmarkEnd w:id="110"/>
    <w:bookmarkStart w:id="112"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11">
        <w:r>
          <w:rPr>
            <w:rStyle w:val="Hyperlink"/>
          </w:rPr>
          <w:t xml:space="preserve">https://doi.org/10.18830/issn.1679-0944.n34.2023.08</w:t>
        </w:r>
      </w:hyperlink>
      <w:r>
        <w:t xml:space="preserve">.</w:t>
      </w:r>
    </w:p>
    <w:bookmarkEnd w:id="112"/>
    <w:bookmarkStart w:id="114" w:name="ref-motuziene_ventilacaoia_2025"/>
    <w:p>
      <w:pPr>
        <w:pStyle w:val="Bibliography"/>
      </w:pPr>
      <w:r>
        <w:t xml:space="preserve">Motuzienė, Violeta, Jonas Bielskus, Rasa Džiugaitė-Tumėnienė, and Vidas Raudonis. 2025.</w:t>
      </w:r>
      <w:r>
        <w:t xml:space="preserve"> </w:t>
      </w:r>
      <w:r>
        <w:t xml:space="preserve">“Occupancy-Based Predictive AI-Driven Ventilation Control for Energy Savings in Office Buildings.”</w:t>
      </w:r>
      <w:r>
        <w:t xml:space="preserve"> </w:t>
      </w:r>
      <w:r>
        <w:rPr>
          <w:iCs/>
          <w:i/>
        </w:rPr>
        <w:t xml:space="preserve">Sustainability</w:t>
      </w:r>
      <w:r>
        <w:t xml:space="preserve"> </w:t>
      </w:r>
      <w:r>
        <w:t xml:space="preserve">17 (9): 4140.</w:t>
      </w:r>
      <w:r>
        <w:t xml:space="preserve"> </w:t>
      </w:r>
      <w:hyperlink r:id="rId113">
        <w:r>
          <w:rPr>
            <w:rStyle w:val="Hyperlink"/>
          </w:rPr>
          <w:t xml:space="preserve">https://doi.org/10.3390/su17094140</w:t>
        </w:r>
      </w:hyperlink>
      <w:r>
        <w:t xml:space="preserve">.</w:t>
      </w:r>
    </w:p>
    <w:bookmarkEnd w:id="114"/>
    <w:bookmarkStart w:id="11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15">
        <w:r>
          <w:rPr>
            <w:rStyle w:val="Hyperlink"/>
          </w:rPr>
          <w:t xml:space="preserve">https://doi.org/10.1016/j.buildenv.2019.106212</w:t>
        </w:r>
      </w:hyperlink>
      <w:r>
        <w:t xml:space="preserve">.</w:t>
      </w:r>
    </w:p>
    <w:bookmarkEnd w:id="116"/>
    <w:bookmarkStart w:id="11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17">
        <w:r>
          <w:rPr>
            <w:rStyle w:val="Hyperlink"/>
          </w:rPr>
          <w:t xml:space="preserve">https://doi.org/10.1061/JCEMD4.COENG-13154</w:t>
        </w:r>
      </w:hyperlink>
      <w:r>
        <w:t xml:space="preserve">.</w:t>
      </w:r>
    </w:p>
    <w:bookmarkEnd w:id="118"/>
    <w:bookmarkStart w:id="12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19">
        <w:r>
          <w:rPr>
            <w:rStyle w:val="Hyperlink"/>
          </w:rPr>
          <w:t xml:space="preserve">https://doi.org/10.56065/pdpyke84</w:t>
        </w:r>
      </w:hyperlink>
      <w:r>
        <w:t xml:space="preserve">.</w:t>
      </w:r>
    </w:p>
    <w:bookmarkEnd w:id="120"/>
    <w:bookmarkStart w:id="12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21">
        <w:r>
          <w:rPr>
            <w:rStyle w:val="Hyperlink"/>
          </w:rPr>
          <w:t xml:space="preserve">https://doi.org/10.1108/F-07-2014-0060</w:t>
        </w:r>
      </w:hyperlink>
      <w:r>
        <w:t xml:space="preserve">.</w:t>
      </w:r>
    </w:p>
    <w:bookmarkEnd w:id="122"/>
    <w:bookmarkStart w:id="12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23">
        <w:r>
          <w:rPr>
            <w:rStyle w:val="Hyperlink"/>
          </w:rPr>
          <w:t xml:space="preserve">https://doi.org/10.3390/su15043174</w:t>
        </w:r>
      </w:hyperlink>
      <w:r>
        <w:t xml:space="preserve">.</w:t>
      </w:r>
    </w:p>
    <w:bookmarkEnd w:id="124"/>
    <w:bookmarkStart w:id="12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25">
        <w:r>
          <w:rPr>
            <w:rStyle w:val="Hyperlink"/>
          </w:rPr>
          <w:t xml:space="preserve">https://doi.org/10.3390/su14031705</w:t>
        </w:r>
      </w:hyperlink>
      <w:r>
        <w:t xml:space="preserve">.</w:t>
      </w:r>
    </w:p>
    <w:bookmarkEnd w:id="126"/>
    <w:bookmarkStart w:id="12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27">
        <w:r>
          <w:rPr>
            <w:rStyle w:val="Hyperlink"/>
          </w:rPr>
          <w:t xml:space="preserve">https://doi.org/10.2478/otmcj-2023-0005</w:t>
        </w:r>
      </w:hyperlink>
      <w:r>
        <w:t xml:space="preserve">.</w:t>
      </w:r>
    </w:p>
    <w:bookmarkEnd w:id="128"/>
    <w:bookmarkStart w:id="13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29">
        <w:r>
          <w:rPr>
            <w:rStyle w:val="Hyperlink"/>
          </w:rPr>
          <w:t xml:space="preserve">https://doi.org/10.3390/su11247181</w:t>
        </w:r>
      </w:hyperlink>
      <w:r>
        <w:t xml:space="preserve">.</w:t>
      </w:r>
    </w:p>
    <w:bookmarkEnd w:id="130"/>
    <w:bookmarkStart w:id="13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31">
        <w:r>
          <w:rPr>
            <w:rStyle w:val="Hyperlink"/>
          </w:rPr>
          <w:t xml:space="preserve">https://doi.org/10.1108/IJBPA-07-2025-0169</w:t>
        </w:r>
      </w:hyperlink>
      <w:r>
        <w:t xml:space="preserve">.</w:t>
      </w:r>
    </w:p>
    <w:bookmarkEnd w:id="132"/>
    <w:bookmarkStart w:id="13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33">
        <w:r>
          <w:rPr>
            <w:rStyle w:val="Hyperlink"/>
          </w:rPr>
          <w:t xml:space="preserve">https://doi.org/10.1186/2046-4053-4-6</w:t>
        </w:r>
      </w:hyperlink>
      <w:r>
        <w:t xml:space="preserve">.</w:t>
      </w:r>
    </w:p>
    <w:bookmarkEnd w:id="134"/>
    <w:bookmarkStart w:id="13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35">
        <w:r>
          <w:rPr>
            <w:rStyle w:val="Hyperlink"/>
          </w:rPr>
          <w:t xml:space="preserve">https://doi.org/10.1016/j.jbusres.2019.07.039</w:t>
        </w:r>
      </w:hyperlink>
      <w:r>
        <w:t xml:space="preserve">.</w:t>
      </w:r>
    </w:p>
    <w:bookmarkEnd w:id="136"/>
    <w:bookmarkStart w:id="138" w:name="ref-suh_demandaenergiaagua_2012"/>
    <w:p>
      <w:pPr>
        <w:pStyle w:val="Bibliography"/>
      </w:pPr>
      <w:r>
        <w:t xml:space="preserve">Suh, Dongjun, and Seongju Chang. 2012.</w:t>
      </w:r>
      <w:r>
        <w:t xml:space="preserve"> </w:t>
      </w:r>
      <w:r>
        <w:t xml:space="preserve">“An Energy and Water Resource Demand Estimation Model for Multi-Family Housing Complexes in Korea.”</w:t>
      </w:r>
      <w:r>
        <w:t xml:space="preserve"> </w:t>
      </w:r>
      <w:r>
        <w:rPr>
          <w:iCs/>
          <w:i/>
        </w:rPr>
        <w:t xml:space="preserve">Energies</w:t>
      </w:r>
      <w:r>
        <w:t xml:space="preserve"> </w:t>
      </w:r>
      <w:r>
        <w:t xml:space="preserve">5 (11): 4497–4516.</w:t>
      </w:r>
      <w:r>
        <w:t xml:space="preserve"> </w:t>
      </w:r>
      <w:hyperlink r:id="rId137">
        <w:r>
          <w:rPr>
            <w:rStyle w:val="Hyperlink"/>
          </w:rPr>
          <w:t xml:space="preserve">https://doi.org/10.3390/en5114497</w:t>
        </w:r>
      </w:hyperlink>
      <w:r>
        <w:t xml:space="preserve">.</w:t>
      </w:r>
    </w:p>
    <w:bookmarkEnd w:id="138"/>
    <w:bookmarkStart w:id="140"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39">
        <w:r>
          <w:rPr>
            <w:rStyle w:val="Hyperlink"/>
          </w:rPr>
          <w:t xml:space="preserve">https://doi.org/10.1108/F-06-2012-0042</w:t>
        </w:r>
      </w:hyperlink>
      <w:r>
        <w:t xml:space="preserve">.</w:t>
      </w:r>
    </w:p>
    <w:bookmarkEnd w:id="140"/>
    <w:bookmarkStart w:id="142"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41">
        <w:r>
          <w:rPr>
            <w:rStyle w:val="Hyperlink"/>
          </w:rPr>
          <w:t xml:space="preserve">https://doi.org/10.1108/F-03-2016-0028</w:t>
        </w:r>
      </w:hyperlink>
      <w:r>
        <w:t xml:space="preserve">.</w:t>
      </w:r>
    </w:p>
    <w:bookmarkEnd w:id="142"/>
    <w:bookmarkStart w:id="144"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43">
        <w:r>
          <w:rPr>
            <w:rStyle w:val="Hyperlink"/>
          </w:rPr>
          <w:t xml:space="preserve">https://doi.org/10.1111/j.1365-2648.2005.03621.x</w:t>
        </w:r>
      </w:hyperlink>
      <w:r>
        <w:t xml:space="preserve">.</w:t>
      </w:r>
    </w:p>
    <w:bookmarkEnd w:id="144"/>
    <w:bookmarkStart w:id="146" w:name="ref-wu_gnnvidautil_2025"/>
    <w:p>
      <w:pPr>
        <w:pStyle w:val="Bibliography"/>
      </w:pPr>
      <w:r>
        <w:t xml:space="preserve">Wu, Pei-Yu, and S. Olof Mundt-Petersen. 2025.</w:t>
      </w:r>
      <w:r>
        <w:t xml:space="preserve"> </w:t>
      </w:r>
      <w:r>
        <w:t xml:space="preserve">“Empirical Quantification and Prediction of Building Component Lifespans with Graph Neural Networks.”</w:t>
      </w:r>
      <w:r>
        <w:t xml:space="preserve"> </w:t>
      </w:r>
      <w:r>
        <w:rPr>
          <w:iCs/>
          <w:i/>
        </w:rPr>
        <w:t xml:space="preserve">IOP Conference Series: Earth and Environmental Science</w:t>
      </w:r>
      <w:r>
        <w:t xml:space="preserve"> </w:t>
      </w:r>
      <w:r>
        <w:t xml:space="preserve">1554: 012036.</w:t>
      </w:r>
      <w:r>
        <w:t xml:space="preserve"> </w:t>
      </w:r>
      <w:hyperlink r:id="rId145">
        <w:r>
          <w:rPr>
            <w:rStyle w:val="Hyperlink"/>
          </w:rPr>
          <w:t xml:space="preserve">https://doi.org/10.1088/1755-1315/1554/1/012036</w:t>
        </w:r>
      </w:hyperlink>
      <w:r>
        <w:t xml:space="preserve">.</w:t>
      </w:r>
    </w:p>
    <w:bookmarkEnd w:id="146"/>
    <w:bookmarkStart w:id="148"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47">
        <w:r>
          <w:rPr>
            <w:rStyle w:val="Hyperlink"/>
          </w:rPr>
          <w:t xml:space="preserve">https://doi.org/10.1061/(ASCE)CF.1943-5509.0001176</w:t>
        </w:r>
      </w:hyperlink>
      <w:r>
        <w:t xml:space="preserve">.</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2026-07-14T01:48:34Z</dcterms:created>
  <dcterms:modified xsi:type="dcterms:W3CDTF">2026-07-14T01:48:34Z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