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Manutenção sustentável em edificações universitárias públicas: revisão bibliométrica e especificação para parametrização multicritério</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sem alterar a camada bibliométrica da busca principal. Dos 121 registros, 109 também pertencem ao estrato bibliométrico de 372. Predominaram as dimensões técnica-operacional (116 registros), institucional (97) e ambiental (92), e os critérios desempenho operacional (99), informação e dados (82), custo (63), energia e vida útil (44 cada). Aprendizado de máquina passou de nove para 26 registros após a sensibilidade. Nenhum dos 17 incorporados demonstrou a cadeia completa entre modelo treinado, validação externa, ponderação multicritério, regras de veto e decisão pública auditável. A contribuição central é uma matriz rastreável de critérios, indicadores candidatos e fluxo decisório para validação institucional. Pesos, função de agregação e limiares não foram definidos, porque dependem de participação institucional, dados reais e teste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without changing the bibliometric layer derived from the main search. Of the 121 records, 109 also belong to the 372-record bibliometric stratum. The technical-operational (116 records), institutional (97), and environmental (92) dimensions predominated, as did operational performance (99), information and data (82), cost (63), energy, and service life (44 each). Machine learning increased from nine to 26 records after the sensitivity search. None of the 17 incorporated records demonstrated the complete chain linking a trained model, external validation, multi-criteria weighting, veto rules, and auditable public decision-making. The central contribution is a traceable matrix of criteria, candidate indicators, and a decision flow for institutional validation. Weights, aggregation function, and thresholds were not defined because they depend on institutional participation, real data, and multi-campus testing.</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t>Introdução</w:t>
      </w:r>
    </w:p>
    <w:p>
      <w:pPr>
        <w:pStyle w:val="FirstParagraph"/>
        <w:rPr/>
      </w:pPr>
      <w:r>
        <w:rPr/>
        <w:t>A gestão de edificações públicas universitárias enfrenta uma tensão decisória recorrente: intervenções visíveis ou urgentes competem por recursos com ações preventivas, ambientais, sociais e institucionais cujos benefícios se distribuem ao longo do ciclo de vida. Estudos de caso em instituições universitárias sugerem que a ausência de critérios transparentes favorece práticas reativas e dificulta justificar tecnicamente a prioridade atribuída a cada ativo (Lateef, Khamidi, and Idrus 2010; Barbosa et al. 2020). A manutenção predial condiciona desempenho, segurança, durabilidade e continuidade dos serviços, e a NBR 5674 estabelece requisitos de planejamento, controle e avaliação do sistema de manutenção (Associação Brasileira de Normas Técnicas 2012). No âmbito público brasileiro, essa responsabilidade também se vincula a deveres legais e administrativos do gestor (Araújo Neto 2015).</w:t>
      </w:r>
    </w:p>
    <w:p>
      <w:pPr>
        <w:pStyle w:val="BodyText"/>
        <w:rPr/>
      </w:pPr>
      <w:r>
        <w:rPr/>
        <w:t>Em instituições com infraestrutura envelhecida, restrições orçamentárias e demanda acumulada, ordenar intervenções somente por custo imediato ou urgência pode omitir efeitos sobre desempenho futuro e continuidade operacional. A análise de custos em universidade federal demonstra a utilidade de modelos de previsão para o planejamento orçamentário (Martins and Espejo 2024), enquanto registros de ordens de serviço permitem reconhecer padrões de demanda e apoiar o planejamento de intervenções (Morais, Paula, and Reis 2023). Tomados em conjunto, esses estudos sustentam a necessidade de combinar custos e ordens de serviço com condição física, risco, energia, impacto ambiental, experiência dos usuários, conformidade e capacidade institucional (Maia, Scheer, and Freitas 2016; Nägeli et al. 2019; Alfalah et al. 2022).</w:t>
      </w:r>
    </w:p>
    <w:p>
      <w:pPr>
        <w:pStyle w:val="BodyText"/>
        <w:rPr/>
      </w:pPr>
      <w:r>
        <w:rPr/>
        <w:t>A gestão sustentável de facilidades (</w:t>
      </w:r>
      <w:r>
        <w:rPr>
          <w:i/>
          <w:iCs/>
        </w:rPr>
        <w:t>facility management</w:t>
      </w:r>
      <w:r>
        <w:rPr/>
        <w:t xml:space="preserve">) articula desempenho ambiental, econômico e social com planejamento, operação e gestão dos ativos construídos (Nielsen, Sarasoja, and Galamba 2016; Opoku and Lee 2022; Okoro 2023).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podem explicitar compensações entre esses objetivos, desde que critérios, indicadores, pesos, regras não compensatórias e incertezas sejam documentados (Alfalah et al. 2022; Naji, Gunduz, and Maki 2023; Masmoudi et al. 2026).</w:t>
      </w:r>
    </w:p>
    <w:p>
      <w:pPr>
        <w:pStyle w:val="BodyText"/>
        <w:rPr/>
      </w:pPr>
      <w:r>
        <w:rPr/>
        <w:t>Apesar dessa convergência potencial, estudos sobre digitalização e métodos decisórios ainda documentam separadamente integração de dados, previsão operacional, critérios de sustentabilidade e escolha multicritério, sem demonstrar de modo recorrente a cadeia completa até a decisão institucional (Deng, Menassa, and Kamat 2021; Das 2025; Alfalah et al. 2022; Masmoudi et al. 2026). A lacuna abordada neste artigo é a conexão rastreável entre evidência científica, variável observável e regra pública de decisão, sem confundir frequência bibliográfica com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é: como os padrões bibliométricos e a síntese temática da literatura podem fundamentar critérios, indicadores e etapas de validação para uma futura aplicação multicritério nesse contexto?</w:t>
      </w:r>
    </w:p>
    <w:p>
      <w:pPr>
        <w:pStyle w:val="BodyText"/>
        <w:rPr/>
      </w:pPr>
      <w:r>
        <w:rPr/>
        <w:t>A análise foi orientada originalmente por cinco questões específicas: quais dimensões de sustentabilidade são identificadas (RQ1); quais critérios de priorização são identificados (RQ2); quais métodos de apoio à decisão são identificados (RQ3); em quais contextos de edificação essas abordagens aparecem (RQ4); e quais lacunas são registradas para instituições públicas de ensino superior (RQ5). Como verificação complementar, formulou-se a RQ6: em que medida uma busca de sensibilidade dedicada à inteligência artificial (IA) e ao aprendizado de máquina altera a identificação de métodos informacionais e preditivos aplicados à manutenção e à gestão de edificações? A RQ6 permanece uma análise secundária de cobertura e não redefine retrospectivamente a busca principal nem a contribuição central do artigo.</w:t>
      </w:r>
    </w:p>
    <w:p>
      <w:pPr>
        <w:pStyle w:val="BodyText"/>
        <w:rPr/>
      </w:pPr>
      <w:bookmarkStart w:id="1" w:name="sec%3Aintroducao"/>
      <w:r>
        <w:rPr/>
        <w:t>A contribuição central é uma especificação operacional candidata, composta por matriz de critérios e indicadores e por um fluxo de validação institucional. O mapeamento bibliométrico, a síntese temática e a busca de sensibilidade funcionam como camadas de evidência que justificam essa especificação; não são apresentados como produtos independentes de igual hierarquia nem como validação de um modelo decisório pronto.</w:t>
      </w:r>
      <w:bookmarkEnd w:id="1"/>
    </w:p>
    <w:p>
      <w:pPr>
        <w:pStyle w:val="Heading1"/>
        <w:rPr/>
      </w:pPr>
      <w:bookmarkStart w:id="2" w:name="sec%3Arevisao"/>
      <w:r>
        <w:rPr/>
        <w:t>Fundamentos teóricos da manutenção sustentável</w:t>
      </w:r>
    </w:p>
    <w:p>
      <w:pPr>
        <w:pStyle w:val="FirstParagraph"/>
        <w:rPr/>
      </w:pPr>
      <w:r>
        <w:rPr/>
        <w:t xml:space="preserve">A literatura analisada pode ser organizada em cinco correntes complementares, abrangendo ciclo de vida, gestão sustentável de facilidades, efeitos sobre usuários, integração digital e apoio multicritério (Nägeli et al. 2019; Nielsen, Sarasoja, and Galamba 2016; Alfalah et al. 2022; Deng, Menassa, and Kamat 2021; Masmoudi et al. 2026). Essa organização não substitui a classificação empírica do corpus; ela explicita os fundamentos usados para converter a síntese em especificação operacional. Neste artigo, MCDM designa </w:t>
      </w:r>
      <w:r>
        <w:rPr>
          <w:i/>
          <w:iCs/>
        </w:rPr>
        <w:t>multi-criteria decision-making</w:t>
      </w:r>
      <w:r>
        <w:rPr/>
        <w:t xml:space="preserve"> e MCDA, </w:t>
      </w:r>
      <w:r>
        <w:rPr>
          <w:i/>
          <w:iCs/>
        </w:rPr>
        <w:t>multi-criteria decision analysis</w:t>
      </w:r>
      <w:r>
        <w:rPr/>
        <w:t xml:space="preserve">; AHP corresponde a </w:t>
      </w:r>
      <w:r>
        <w:rPr>
          <w:i/>
          <w:iCs/>
        </w:rPr>
        <w:t>Analytic Hierarchy Process</w:t>
      </w:r>
      <w:r>
        <w:rPr/>
        <w:t xml:space="preserve">, TOPSIS a </w:t>
      </w:r>
      <w:r>
        <w:rPr>
          <w:i/>
          <w:iCs/>
        </w:rPr>
        <w:t>Technique for Order Preference by Similarity to Ideal Solution</w:t>
      </w:r>
      <w:r>
        <w:rPr/>
        <w:t xml:space="preserve"> e ANP a </w:t>
      </w:r>
      <w:r>
        <w:rPr>
          <w:i/>
          <w:iCs/>
        </w:rPr>
        <w:t>Analytic Network Process</w:t>
      </w:r>
      <w:r>
        <w:rPr/>
        <w:t>. A Tabela </w:t>
      </w:r>
      <w:hyperlink w:anchor="tab%3Acorrentesteoricas">
        <w:r>
          <w:rPr>
            <w:rStyle w:val="Hyperlink"/>
          </w:rPr>
          <w:t>1</w:t>
        </w:r>
      </w:hyperlink>
      <w:r>
        <w:rPr/>
        <w:t xml:space="preserve"> apresenta o núcleo de cada corrente, sua contribuição à especificação e a principal lacuna de integração.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do ativo,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 ao longo da vida útil.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reais de manutenção.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das atividades acadêmicas.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 frequência e operacionalização que os critérios técnicos.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progressiva dos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Validação externa, interoperabilidade e governança ainda heterogêneas.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Poucas aplicações documentam a cadeia completa até a decisão institucional.</w:t>
            </w:r>
          </w:p>
        </w:tc>
      </w:tr>
    </w:tbl>
    <w:p>
      <w:pPr>
        <w:pStyle w:val="Normal"/>
        <w:rPr/>
      </w:pPr>
      <w:r>
        <w:rPr/>
      </w:r>
    </w:p>
    <w:p>
      <w:pPr>
        <w:pStyle w:val="BodyText"/>
        <w:rPr/>
      </w:pPr>
      <w:r>
        <w:rPr/>
        <w:t>A corrente técnica-operacional parte da manutenção como função do ciclo de vida, da confiabilidade e do desempenho do ativo (Nägeli et al. 2019; Othman and Kamal 2023). Planejar conjuntamente manutenção e renovação permite coordenar condição física, consumo de energia e restrições orçamentárias (Nägeli et al. 2019). Estudos de manutenibilidade mostram ainda que decisões tomadas no projeto influenciam acesso, segurança e custo de intervenções futuras (Othman and Kamal 2023; Chew and Conejos 2016; Conejos, Chew, and Azril 2019). Na especificação candidata, essa corrente sustenta critérios como desempenho, risco, condição física, vida útil e qualidade do serviço.</w:t>
      </w:r>
    </w:p>
    <w:p>
      <w:pPr>
        <w:pStyle w:val="BodyText"/>
        <w:rPr/>
      </w:pPr>
      <w:r>
        <w:rPr/>
        <w:t>A corrente ambiental e de ciclo de vida amplia a decisão para energia, emissões, água, resíduos e efeitos intertemporais (Nielsen, Sarasoja, and Galamba 2016; Opoku and Lee 2022; Okoro 2023). A gestão sustentável de facilidades conecta esses impactos aos níveis estratégico, tático e operacional (Nielsen, Sarasoja, and Galamba 2016; Opoku and Lee 2022; Okoro 2023). Na especificação proposta, o ciclo de vida opera como eixo transversal para integrar custos, riscos e impactos futuros sem converter a mesma consequência temporal em critérios redundantes, opção analítica apoiada pela abordagem conjunta de manutenção, renovação e energia (Nägeli et al. 2019).</w:t>
      </w:r>
    </w:p>
    <w:p>
      <w:pPr>
        <w:pStyle w:val="BodyText"/>
        <w:rPr/>
      </w:pPr>
      <w:r>
        <w:rPr/>
        <w:t>A corrente social e ocupacional desloca parte da avaliação do ativo para as pessoas que utilizam e operam a edificação (Alfalah et al. 2022; Nielsen, Sarasoja, and Galamba 2016). Segurança, conforto, satisfação, acessibilidade e continuidade das atividades acadêmicas são efeitos considerados em abordagens sustentáveis de gestão de facilidades e avaliação de edifícios educacionais (Nielsen, Sarasoja, and Galamba 2016; Alfalah et al. 2022). Em edifícios educacionais, estruturas de avaliação combinam desempenho técnico, energia e percepção dos usuários (Alfalah et al. 2022). Essa corrente evita que uma classificação tecnicamente eficiente seja socialmente inadequada.</w:t>
      </w:r>
    </w:p>
    <w:p>
      <w:pPr>
        <w:pStyle w:val="BodyText"/>
        <w:rPr/>
      </w:pPr>
      <w:r>
        <w:rPr/>
        <w:t xml:space="preserve">A corrente informacional e digital abrange modelagem da informação da construção, </w:t>
      </w:r>
      <w:r>
        <w:rPr>
          <w:i/>
          <w:iCs/>
        </w:rPr>
        <w:t>digital twins</w:t>
      </w:r>
      <w:r>
        <w:rPr/>
        <w:t xml:space="preserve">, sensores, ontologias, inteligência artificial e manutenção preditiva. A revisão de Deng, Menassa, and Kamat (2021) examina a transição de BIM para </w:t>
      </w:r>
      <w:r>
        <w:rPr>
          <w:i/>
          <w:iCs/>
        </w:rPr>
        <w:t>digital twins</w:t>
      </w:r>
      <w:r>
        <w:rPr/>
        <w:t>; Espinosa Gispert et al. (2025) tratam da organização dos ativos por ontologia; e Goretti and Kaming (2023) discutem a integração entre BIM, operação e manutenção. Em outra vertente, Das (2025) sintetizam aplicações de IoT e inteligência artificial em edifícios.</w:t>
      </w:r>
    </w:p>
    <w:p>
      <w:pPr>
        <w:pStyle w:val="BodyText"/>
        <w:rPr/>
      </w:pPr>
      <w:r>
        <w:rPr/>
        <w:t>Para organizar essa literatura, o artigo adota uma distinção funcional. Plataformas, modelos de informação e ontologias estruturam ou sincronizam cadastro, condição, operação e histórico de intervenções, como mostram os trabalhos de Deng, Menassa, and Kamat (2021), Espinosa Gispert et al. (2025) e Goretti and Kaming (2023). Modelos treinados, por sua vez, produzem estimativas de demanda, vida útil ou anomalias, como nas aplicações de ventilação de Motuzienė et al. (2025), de regressão em grafos de Wu and Mundt-Petersen (2025) e de IoT com IA sintetizadas por Das (2025). A transformação dessas saídas em prioridade institucional ainda exige critérios, preferências, restrições e responsabilização decisória, funções que não são substituídas pela capacidade preditiva do modelo (Das 2025).</w:t>
      </w:r>
    </w:p>
    <w:p>
      <w:pPr>
        <w:pStyle w:val="BodyText"/>
        <w:rPr/>
      </w:pPr>
      <w:r>
        <w:rPr/>
        <w:t xml:space="preserve">A corrente de integração multicritério fornece procedimentos para estruturar conflitos entre objetivos. AHP, TOPSIS e ANP apoiam ponderação e ordenação; Delphi apoia construção de consenso; métodos fuzzy tratam julgamentos linguísticos; e otimização explora restrições e combinações, funções observadas em aplicações educacionais, de </w:t>
      </w:r>
      <w:r>
        <w:rPr>
          <w:i/>
          <w:iCs/>
        </w:rPr>
        <w:t>campus</w:t>
      </w:r>
      <w:r>
        <w:rPr/>
        <w:t xml:space="preserve"> e de manutenção pública (Alfalah et al. 2022; Naji, Gunduz, and Maki 2023; Masmoudi et al. 2026). Ainda assim, a seleção do método deve considerar o problema decisório, a qualidade dos dados, a compensabilidade dos critérios e a capacidade dos usuários, e não apenas sua frequência bibliográfica.</w:t>
      </w:r>
      <w:bookmarkEnd w:id="2"/>
    </w:p>
    <w:p>
      <w:pPr>
        <w:pStyle w:val="Heading1"/>
        <w:rPr/>
      </w:pPr>
      <w:bookmarkStart w:id="3" w:name="sec%3Ametodologia"/>
      <w:r>
        <w:rPr/>
        <w:t>Procedimentos metodológicos</w:t>
      </w:r>
    </w:p>
    <w:p>
      <w:pPr>
        <w:pStyle w:val="FirstParagraph"/>
        <w:rPr/>
      </w:pPr>
      <w:r>
        <w:rPr/>
        <w:t>A pesquisa foi estruturada como revisão integrativa sistematizada, com apoio bibliométrico e síntese temática. A revisão integrativa permite reunir estudos com diferentes delineamentos sob uma pergunta comum, desde que o processo de busca, seleção e síntese seja explicitado (Whittemore and Knafl 2005; Snyder 2019). O apoio bibliométrico foi utilizado para organizar o corpus, descrever sua distribuição e orientar a síntese temática (Donthu et al. 2021).</w:t>
      </w:r>
    </w:p>
    <w:p>
      <w:pPr>
        <w:pStyle w:val="BodyText"/>
        <w:rPr/>
      </w:pPr>
      <w:r>
        <w:rPr/>
        <w:t xml:space="preserve">A análise foi organizada em dois níveis complementares. A camada bibliométrica ampliada utilizou os 372 registros classificados como </w:t>
      </w:r>
      <w:r>
        <w:rPr>
          <w:rStyle w:val="VerbatimChar"/>
        </w:rPr>
        <w:t>A_nucleo_forte</w:t>
      </w:r>
      <w:r>
        <w:rPr/>
        <w:t xml:space="preserve"> na busca principal, todos com título, ano, fonte e resumo e 329 com palavras-chave. Esse conjunto foi empregado para analisar fontes, coocorrência de palavras-chave, mapa temático e evolução entre 2010–2020 e 2021–2026. A síntese temática utilizou inicialmente 104 registros e passou a 121 após a incorporação de 17 registros identificados pela busca complementar de sensibilidade para inteligência artificial e aprendizado de máquina. A comparação por </w:t>
      </w:r>
      <w:r>
        <w:rPr>
          <w:rStyle w:val="VerbatimChar"/>
        </w:rPr>
        <w:t>id_unico</w:t>
      </w:r>
      <w:r>
        <w:rPr/>
        <w:t xml:space="preserve"> mostrou que 109 dos 121 registros do núcleo temático vigente também pertencem ao estrato bibliométrico de 372; 12 são exclusivos do núcleo temático vigente e 263 são exclusivos da camada bibliométrica. Portanto, os conjuntos são parcialmente sobrepostos, e o núcleo temático não constitui subconjunto estrito da camada bibliométrica. Os registros recuperados pela busca direcionada não foram acrescentados à camada de 372, porque o enriquecimento deliberado com termos de IA e aprendizado de máquina alteraria artificialmente a estrutura temática observada na busca principal. A rede de colaboração não foi produzida porque apenas 91 dos 372 registros possuíam autores e não havia afiliações; o acoplamento bibliográfico não foi calculado porque as referências citadas não foram preservadas no corpus consolidado. A normalização reuniu variantes ortográficas e siglas equivalentes, e as relações de coocorrência foram normalizadas pelas frequências marginais.</w:t>
      </w:r>
    </w:p>
    <w:p>
      <w:pPr>
        <w:pStyle w:val="BodyText"/>
        <w:rPr/>
      </w:pPr>
      <w:r>
        <w:rPr/>
        <w:t>A Tabela </w:t>
      </w:r>
      <w:hyperlink w:anchor="tab%3Aglossariocamadas">
        <w:r>
          <w:rPr>
            <w:rStyle w:val="Hyperlink"/>
          </w:rPr>
          <w:t>2</w:t>
        </w:r>
      </w:hyperlink>
      <w:r>
        <w:rPr/>
        <w:t xml:space="preserve"> padroniza os rótulos usados no artigo e evita que diferentes etapas sejam tratadas como um único conjunto.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organização do relato metodológico explicita pergunta, busca, seleção, extração e síntese, elementos de transparência e reprodutibilidade destacados por Hu et al. (2026). A referência é empregada apenas como parâmetro de relato; não implica pré-registro, dupla revisão, avaliação de risco de viés, elegibilidade integral em texto completo ou metanálise, procedimentos não realizados.</w:t>
      </w:r>
    </w:p>
    <w:p>
      <w:pPr>
        <w:pStyle w:val="Heading2"/>
        <w:rPr/>
      </w:pPr>
      <w:bookmarkStart w:id="4" w:name="Xca0b6dcf81fd8d2c8a9c0a77c769b2ff979df2a"/>
      <w:bookmarkEnd w:id="4"/>
      <w:r>
        <w:rPr/>
        <w:t>Reprodutibilidade, ciência aberta e limites da automação</w:t>
      </w:r>
    </w:p>
    <w:p>
      <w:pPr>
        <w:pStyle w:val="FirstParagraph"/>
        <w:rPr/>
      </w:pPr>
      <w:r>
        <w:rPr/>
        <w:t>Consultas, exportações, manual de codificação, matrizes intermediárias, scripts determinísticos, figuras e verificações automatizadas foram versionados no repositório da pesquisa. O fluxo preserva identificadores, proveniência das bases, regras de deduplicação, decisões de triagem e parâmetros da síntese, permitindo que resultados numéricos e produtos bibliométricos sejam recompilados a partir dos arquivos disponíveis. Essa rastreabilidade constitui uma contribuição de ciência aberta, ainda que não substitua pré-registro nem revisão independente.</w:t>
      </w:r>
    </w:p>
    <w:p>
      <w:pPr>
        <w:pStyle w:val="BodyText"/>
        <w:rPr/>
      </w:pPr>
      <w:r>
        <w:rPr/>
        <w:t>O caráter determinístico das rotinas reduz variações de execução: a mesma entrada, a mesma versão do código e os mesmos parâmetros produzem a mesma saída. Isso não elimina subjetividade. O manual de codificação, os limiares, as categorias, as expressões de busca e as decisões humanas sobre casos duvidosos incorporam escolhas analíticas. A automação torna essas escolhas mais auditáveis, mas não as converte em verdade objetiva.</w:t>
      </w:r>
    </w:p>
    <w:p>
      <w:pPr>
        <w:pStyle w:val="BodyText"/>
        <w:rPr/>
      </w:pPr>
      <w:r>
        <w:rPr/>
        <w:t>A literatura cinzenta não foi incluída em busca estruturada porque o desenho priorizou fontes com metadados bibliográficos interoperáveis e campos necessários à deduplicação e à análise. Essa decisão melhora a comparabilidade dos registros, mas pode reduzir a cobertura de relatórios técnicos, normas internas, planos de manutenção e experiências institucionais não indexadas. Portanto, a ausência desses documentos é uma limitação de cobertura e não deve ser apresentada como evidência de maior qualidade do corpus.</w:t>
      </w:r>
    </w:p>
    <w:p>
      <w:pPr>
        <w:pStyle w:val="BodyText"/>
        <w:rPr/>
      </w:pPr>
      <w:r>
        <w:rPr/>
        <w:t>A matriz de alinhamento da Tabela </w:t>
      </w:r>
      <w:hyperlink w:anchor="tab%3Aalinhamentorq">
        <w:r>
          <w:rPr>
            <w:rStyle w:val="Hyperlink"/>
          </w:rPr>
          <w:t>3</w:t>
        </w:r>
      </w:hyperlink>
      <w:r>
        <w:rPr/>
        <w:t xml:space="preserve">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6 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6 e Gráfico 7.</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6 e Tabela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7 e Gráfico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8 e Tabela 10.</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8, 11 e 12.</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7, 10 e 12.</w:t>
            </w:r>
          </w:p>
        </w:tc>
      </w:tr>
    </w:tbl>
    <w:p>
      <w:pPr>
        <w:pStyle w:val="Normal"/>
        <w:rPr/>
      </w:pPr>
      <w:r>
        <w:rPr/>
      </w:r>
    </w:p>
    <w:p>
      <w:pPr>
        <w:pStyle w:val="BodyText"/>
        <w:rPr/>
      </w:pPr>
      <w:r>
        <w:rPr/>
        <w:t>A busca principal abrangeu publicações de 2010 a 2026 nas bases Scopus, Web of Science e Crossref. Suas 13 consultas foram executadas em 8 de julho de 2026. Na Scopus, o enriquecimento manual realizado em 9 de julho de 2026, por casamento de EID com a exportação do site, identificou cinco registros existentes apenas no arquivo manual e os incorporou ao corpus. Na Web of Science, a recontagem do quarto arquivo corrigiu o total de 502 para 503 registros; tratou-se de correção do método de contagem, não de novo registro. As consultas principais foram organizadas em quatro eixos: manutenção e sustentabilidade; contexto público universitário; priorização da manutenção; e gestão de ativos no ciclo de vida.</w:t>
      </w:r>
    </w:p>
    <w:p>
      <w:pPr>
        <w:pStyle w:val="BodyText"/>
        <w:rPr/>
      </w:pPr>
      <w:r>
        <w:rPr/>
        <w:t xml:space="preserve">Na Scopus, quatro expressões booleanas, sem filtros de idioma ou tipo documental, foram executadas em </w:t>
      </w:r>
      <w:r>
        <w:rPr>
          <w:rStyle w:val="VerbatimChar"/>
        </w:rPr>
        <w:t>TITLE-ABS-KEY</w:t>
      </w:r>
      <w:r>
        <w:rPr/>
        <w:t xml:space="preserve">, com o intervalo anual incorporado à consulta. Quando o total excedia a janela de paginação de 5.000 resultados da interface de programação de aplicações (API), o script particionava a recuperação por subintervalos de ano. Na Web of Science, quatro buscas manuais, sem filtros de idioma ou tipo documental, foram registradas no campo </w:t>
      </w:r>
      <w:r>
        <w:rPr>
          <w:rStyle w:val="VerbatimChar"/>
        </w:rPr>
        <w:t>TS (Topic)</w:t>
      </w:r>
      <w:r>
        <w:rPr/>
        <w:t xml:space="preserve">. No Crossref, cinco consultas textuais, sem filtros de idioma ou tipo documental, foram executadas por </w:t>
      </w:r>
      <w:r>
        <w:rPr>
          <w:rStyle w:val="VerbatimChar"/>
        </w:rPr>
        <w:t>query.bibliographic</w:t>
      </w:r>
      <w:r>
        <w:rPr/>
        <w:t>, com filtro de data de publicação entre 2010-01-01 e 2026-12-31 e limite deliberado de 200 registros por consulta. Como esse mecanismo ordena correspondências por relevância, o Crossref foi tratado como fonte complementar de metadados, e não como equivalente às expressões booleanas das bases bibliográficas (Crossref 2026).</w:t>
      </w:r>
    </w:p>
    <w:p>
      <w:pPr>
        <w:pStyle w:val="BodyText"/>
        <w:rPr/>
      </w:pPr>
      <w:r>
        <w:rPr/>
        <w:t xml:space="preserve">A busca complementar de sensibilidade foi executada em 12 de julho de 2026 nas mesmas três fontes, sem filtros adicionais além do período de publicação. A Scopus recuperou 3.169 registros por uma expressão em </w:t>
      </w:r>
      <w:r>
        <w:rPr>
          <w:rStyle w:val="VerbatimChar"/>
        </w:rPr>
        <w:t>TITLE-ABS-KEY</w:t>
      </w:r>
      <w:r>
        <w:rPr/>
        <w:t xml:space="preserve">. Na plataforma Web of Science, a consulta foi executada na opção All Databases, no campo </w:t>
      </w:r>
      <w:r>
        <w:rPr>
          <w:rStyle w:val="VerbatimChar"/>
        </w:rPr>
        <w:t>Topic (TS)</w:t>
      </w:r>
      <w:r>
        <w:rPr/>
        <w:t xml:space="preserve">, e recuperou 1.559 registros exportados em duas partes não sobrepostas; esses registros apresentam indexação na Web of Science Core Collection. No Crossref, dez consultas por </w:t>
      </w:r>
      <w:r>
        <w:rPr>
          <w:rStyle w:val="VerbatimChar"/>
        </w:rPr>
        <w:t>query.bibliographic</w:t>
      </w:r>
      <w:r>
        <w:rPr/>
        <w:t>, com 200 resultados por relevância, produziram 2.000 ocorrências brutas e 1.993 registros após deduplicação interna. As strings integrais, a data, o período, os campos e os parâmetros operacionais estão documentados no protocolo e na tabela-fonte.</w:t>
      </w:r>
    </w:p>
    <w:p>
      <w:pPr>
        <w:pStyle w:val="BodyText"/>
        <w:rPr/>
      </w:pPr>
      <w:r>
        <w:rPr/>
        <w:t>A Tabela </w:t>
      </w:r>
      <w:hyperlink w:anchor="tab%3Aestrategiabusca">
        <w:r>
          <w:rPr>
            <w:rStyle w:val="Hyperlink"/>
          </w:rPr>
          <w:t>4</w:t>
        </w:r>
      </w:hyperlink>
      <w:r>
        <w:rPr/>
        <w:t xml:space="preserve"> consolida as duas rodadas. O arquivo </w:t>
      </w:r>
      <w:r>
        <w:rPr>
          <w:rStyle w:val="VerbatimChar"/>
        </w:rPr>
        <w:t>latex-artigo/fontes/tabela_estrategia_busca.csv</w:t>
      </w:r>
      <w:r>
        <w:rPr/>
        <w:t xml:space="preserve"> preserva uma linha por consulta, com expressão documentada, campo, data, período, retorno bruto e observação. A soma de 18.846 corresponde apenas ao volume operacional das duas rodadas antes da deduplicação e não constitui corpus homogêneo, porque a busca de sensibilidade foi deliberadamente enriquecida para IA e aprendizado de máquina.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bl>
    <w:p>
      <w:pPr>
        <w:pStyle w:val="Normal"/>
        <w:rPr/>
      </w:pPr>
      <w:r>
        <w:rPr/>
      </w:r>
    </w:p>
    <w:p>
      <w:pPr>
        <w:pStyle w:val="BodyText"/>
        <w:rPr/>
      </w:pPr>
      <w:r>
        <w:rPr/>
        <w:t>Na busca principal, as quatro expressões da Scopus, as quatro strings da Web of Science e as cinco consultas do Crossref foram preservadas. Na Web of Science, a associação individual entre cada arquivo RIS e as strings A1–A4 foi informada de memória pelo pesquisador, e não reconstruída a partir de registro contemporâneo da busca. Na busca de sensibilidade, as strings da Scopus e da Web of Science e as dez consultas Crossref foram documentadas com data de execução, período, campos e ausência de filtros adicionais. A consulta da Web of Science foi realizada em All Databases, embora os registros exportados apresentem indexação na Web of Science Core Collection. Não houve busca piloto, uso de estudos-semente ou pré-registro. O protocolo e a matriz conceitual foram elaborados antes da coleta principal; a RQ6 e sua busca de sensibilidade foram formalizadas posteriormente para testar a insuficiência temática identificada. O marco inicial de 2010 foi adotado para mapear o desenvolvimento do tema desde o início da década de 2010 até a data da busca, preservando uma janela temporal contemporânea comum às três fontes.</w:t>
      </w:r>
    </w:p>
    <w:p>
      <w:pPr>
        <w:pStyle w:val="BodyText"/>
        <w:rPr/>
      </w:pPr>
      <w:r>
        <w:rPr/>
        <w:t>Os critérios de seleção combinaram aderência ao ambiente construído, manutenção ou gestão predial e sustentabilidade. Métodos de decisão, contexto público universitário e tipologia da edificação foram tratados como campos de caracterização analítica. A Tabela </w:t>
      </w:r>
      <w:hyperlink w:anchor="tab%3Acriteriosincluexclu">
        <w:r>
          <w:rPr>
            <w:rStyle w:val="Hyperlink"/>
          </w:rPr>
          <w:t>5</w:t>
        </w:r>
      </w:hyperlink>
      <w:r>
        <w:rPr/>
        <w:t xml:space="preserve"> sintetiza as regras aplicadas.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Start w:id="5" w:name="Xca0b6dcf81fd8d2c8a9c0a77c769b2ff979df2a"/>
      <w:bookmarkStart w:id="6" w:name="Xca0b6dcf81fd8d2c8a9c0a77c769b2ff979df2a"/>
      <w:bookmarkEnd w:id="6"/>
    </w:p>
    <w:p>
      <w:pPr>
        <w:pStyle w:val="Heading2"/>
        <w:rPr/>
      </w:pPr>
      <w:bookmarkStart w:id="7" w:name="X961280b3a45a67e41e71da47b94b36fd32344d7"/>
      <w:r>
        <w:rPr/>
        <w:t>Deduplicação e preservação da proveniência</w:t>
      </w:r>
    </w:p>
    <w:p>
      <w:pPr>
        <w:pStyle w:val="FirstParagraph"/>
        <w:rPr/>
      </w:pPr>
      <w:r>
        <w:rPr/>
        <w:t xml:space="preserve">A deduplicação foi executada após a padronização dos metadados das três fontes. O DOI foi convertido para minúsculas, com remoção dos prefixos de URL ou </w:t>
      </w:r>
      <w:r>
        <w:rPr>
          <w:rStyle w:val="VerbatimChar"/>
        </w:rPr>
        <w:t>doi:</w:t>
      </w:r>
      <w:r>
        <w:rPr/>
        <w:t>, espaços e ponto final. O título foi convertido para minúsculas, decomposto para remoção de acentos, privado de pontuação e normalizado quanto aos espaços; títulos com menos de oito caracteres não foram usados para agrupamento. Essa preparação foi adaptada dos problemas de interoperabilidade documentados por Rathbone et al. (2015), incluindo variações de pontuação, acentuação, abreviação e completude dos campos bibliográficos; não se adotou o algoritmo SRA-DM descrito pelos autores.</w:t>
      </w:r>
    </w:p>
    <w:p>
      <w:pPr>
        <w:pStyle w:val="BodyText"/>
        <w:rPr/>
      </w:pPr>
      <w:r>
        <w:rPr/>
        <w:t>Registros com o mesmo DOI normalizado foram agrupados. Na ausência de DOI, títulos normalizados idênticos foram agrupados somente quando não havia conflito entre DOIs presentes ou entre identificadores próprios da mesma fonte. Em caso de conflito, os registros permaneceram separados. A hierarquia entre identificador persistente e campos bibliográficos, assim como a decisão conservadora de não fundir registros potencialmente distintos, foi adaptada da abordagem baseada em regras de Jiang et al. (2014), que compara DOI, título, periódico, autores e ano diante de inconsistências entre bases. O procedimento desta revisão foi mais restritivo por exigir igualdade do DOI normalizado ou, na sua ausência, igualdade do título normalizado sem conflito de identificadores. Para cada grupo fundido, foram preservados bases de origem, consultas de origem e identificadores brutos; o resumo mais longo disponível foi mantido e os demais metadados foram selecionados por completude e prioridade de fonte.</w:t>
      </w:r>
    </w:p>
    <w:p>
      <w:pPr>
        <w:pStyle w:val="BodyText"/>
        <w:rPr/>
      </w:pPr>
      <w:r>
        <w:rPr/>
        <w:t>A Tabela </w:t>
      </w:r>
      <w:hyperlink w:anchor="tab%3Adeduplicacao">
        <w:r>
          <w:rPr>
            <w:rStyle w:val="Hyperlink"/>
          </w:rPr>
          <w:t>6</w:t>
        </w:r>
      </w:hyperlink>
      <w:r>
        <w:rPr/>
        <w:t xml:space="preserve"> apresenta os resultados e os controles conservadores da deduplicação.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Total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Interpretação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brutos normalizados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Uma linha por ocorrência recuperada antes da deduplicação.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únicos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Uma linha por grupo consolidado.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removidas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Diferença entre registros brutos e únicos.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Grupos com 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1.808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1.635 agrupados por DOI e 173 apenas por título normalizado.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únicos com DOI</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8.264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presente após consolidação.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únicos sem DOI</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Dependem de título e identificadores para controle de duplicidade.</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Conflitos preservados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 por DOI divergente e 47 por identificador próprio divergente; não foram mesclados.</w:t>
            </w:r>
          </w:p>
        </w:tc>
      </w:tr>
    </w:tbl>
    <w:p>
      <w:pPr>
        <w:pStyle w:val="Normal"/>
        <w:rPr/>
      </w:pPr>
      <w:r>
        <w:rPr/>
      </w:r>
    </w:p>
    <w:p>
      <w:pPr>
        <w:pStyle w:val="BodyText"/>
        <w:rPr/>
      </w:pPr>
      <w:r>
        <w:rPr/>
        <w:t>A rotina não usa similaridade aproximada de títulos e não estabelece vínculo automático entre trabalho em evento e artigo posterior quando os identificadores diferem. Os conflitos detectados foram preservados como registros separados.</w:t>
      </w:r>
    </w:p>
    <w:p>
      <w:pPr>
        <w:pStyle w:val="BodyText"/>
        <w:rPr/>
      </w:pPr>
      <w:bookmarkStart w:id="8" w:name="X961280b3a45a67e41e71da47b94b36fd32344d7"/>
      <w:r>
        <w:rPr/>
        <w:t>A coleta produziu 12.118 registros brutos: 9.433 recuperados pela API da Scopus, cinco registros existentes apenas no export manual da Scopus, 1.680 da Web of Science e 1.000 do Crossref. A deduplicação por DOI normalizado e título normalizado removeu 2.576 ocorrências repetidas e resultou em 9.542 registros únicos, com preservação da proveniência.</w:t>
      </w:r>
      <w:bookmarkEnd w:id="8"/>
    </w:p>
    <w:p>
      <w:pPr>
        <w:pStyle w:val="Heading2"/>
        <w:rPr/>
      </w:pPr>
      <w:bookmarkStart w:id="9" w:name="X1a0c56458ef353c636b255008dfc2175e1ceed4"/>
      <w:r>
        <w:rPr/>
        <w:t>Triagem, auditoria e consolidação do núcleo</w:t>
      </w:r>
    </w:p>
    <w:p>
      <w:pPr>
        <w:pStyle w:val="FirstParagraph"/>
        <w:rPr/>
      </w:pPr>
      <w:r>
        <w:rPr/>
        <w:t>A pré-triagem dos 9.542 registros foi uma classificação automática determinística, sem uso de modelo de linguagem, baseada no casamento de expressões em título e resumo. O script atribuiu cinco classes: relevante, complementar, dúvida, irrelevante e sem resumo. Para aferir essa classificação, foi sorteada, com semente 42, uma amostra estratificada de 100 registros, equivalente a 1,0% do corpus único. Um único avaliador leu individualmente título e resumo e alterou 34 classificações; os outros 9.442 registros não foram lidos individualmente nessa auditoria amostral.</w:t>
      </w:r>
    </w:p>
    <w:p>
      <w:pPr>
        <w:pStyle w:val="BodyText"/>
        <w:rPr/>
      </w:pPr>
      <w:r>
        <w:rPr/>
        <w:t xml:space="preserve">O corte inicial reteve 3.786 registros: 3.472 classificados como relevantes e 314 casos de dúvida com apenas o bloco de objeto predial presente. Esses 314 registros integravam o universo total de 4.276 casos de dúvida, posteriormente reavaliado registro a registro; dessa resolução, 206 foram marcados como relevantes e 4.070 como descarte. Portanto, os 314 casos do corte inicial não foram somados novamente. Um script R apenas validou e aplicou as decisões por </w:t>
      </w:r>
      <w:r>
        <w:rPr>
          <w:rStyle w:val="VerbatimChar"/>
        </w:rPr>
        <w:t>id_unico</w:t>
      </w:r>
      <w:r>
        <w:rPr/>
        <w:t>, sem refazer a triagem. A documentação disponível preserva as decisões, regras, confiança e justificativas, mas não registra revisão independente nem procedimento de resolução de divergências entre avaliadores. O resultado foi um núcleo analítico revisado de 3.678 registros.</w:t>
      </w:r>
    </w:p>
    <w:p>
      <w:pPr>
        <w:pStyle w:val="BodyText"/>
        <w:rPr/>
      </w:pPr>
      <w:r>
        <w:rPr/>
        <w:t>Os 3.678 registros foram submetidos a duas camadas determinísticas em R, ambas sem modelo de linguagem e sem leitura de texto completo. A primeira reavaliou a força dos resumos e classificou 372 registros como estrato bibliométrico forte, 830 como descritivos, 157 como contextuais e 2.319 como descarte. A segunda pontuou o alinhamento às perguntas de pesquisa em título, resumo, palavras-chave e campos extraídos: 137 foram classificados como centrais, 651 como secundários, 375 como descritivos, 157 como contextuais e 2.358 como exclusão. Assim, 137 registros seguiram para auditoria qualitativa e 3.541 não foram selecionados para a análise central.</w:t>
      </w:r>
    </w:p>
    <w:p>
      <w:pPr>
        <w:pStyle w:val="BodyText"/>
        <w:rPr/>
      </w:pPr>
      <w:r>
        <w:rPr/>
        <w:t xml:space="preserve">A auditoria qualitativa estruturada examinou, registro a registro, título, resumo, palavras-chave e campos extraídos dos 137 estudos, sem leitura integral. Um único conjunto de decisões manteve 104 no núcleo temático original; entre os 33 restantes, 21 foram classificados como secundários, três apenas para mapeamento e nove foram excluídos. Um desses nove havia sido marcado para verificação pontual em texto completo e foi posteriormente descartado sem leitura integral. Não houve segundo avaliador independente. Os arquivos da auditoria não identificam ferramenta de inteligência artificial, modelo, versão ou prompt; por isso, não se atribui essa etapa a IA. A coluna </w:t>
      </w:r>
      <w:r>
        <w:rPr>
          <w:rStyle w:val="VerbatimChar"/>
        </w:rPr>
        <w:t>asreview_label_compativel</w:t>
      </w:r>
      <w:r>
        <w:rPr/>
        <w:t xml:space="preserve"> é apenas um campo de compatibilidade e não constitui evidência de uso do ASReview. A Tabela </w:t>
      </w:r>
      <w:hyperlink w:anchor="tab%3Afunilselecao">
        <w:r>
          <w:rPr>
            <w:rStyle w:val="Hyperlink"/>
          </w:rPr>
          <w:t>7</w:t>
        </w:r>
      </w:hyperlink>
      <w:r>
        <w:rPr/>
        <w:t xml:space="preserve"> preserva a rastreabilidade detalhada da busca principal até o núcleo original de 104 registros. A Figura </w:t>
      </w:r>
      <w:hyperlink w:anchor="fig%3Afunil">
        <w:r>
          <w:rPr>
            <w:rStyle w:val="Hyperlink"/>
          </w:rPr>
          <w:t>1</w:t>
        </w:r>
      </w:hyperlink>
      <w:r>
        <w:rPr/>
        <w:t xml:space="preserve"> integra esse percurso à busca complementar de sensibilidade e explicita a convergência no núcleo temático vigente de 121 registros.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r>
        <w:rPr/>
        <w:t>A avaliação de elegibilidade do núcleo temático original não incluiu leitura de texto completo dos 104 estudos. Título, resumo, palavras-chave e campos extraídos foram a base documental de todas as camadas de triagem e da auditoria qualitativa. Um dos 137 registros havia sido sinalizado para verificação pontual em texto completo e foi excluído sem que essa leitura fosse realizada. A inclusão dos 104 estudos no núcleo original representa, portanto, aderência aos critérios de seleção em nível documental, sem confirmação por elegibilidade em texto completo.</w:t>
      </w:r>
    </w:p>
    <w:p>
      <w:pPr>
        <w:pStyle w:val="BodyText"/>
        <w:rPr/>
      </w:pPr>
      <w:r>
        <w:rPr/>
        <w:t>A síntese permanece predominantemente apoiada em título, resumo, palavras-chave e campos estruturados, em razão do acesso institucional restrito a parte dos periódicos das bases consultadas. Em três tarefas pontuais posteriores, 37 estudos com texto completo disponível foram lidos integralmente; 19 forneceram evidências específicas incorporadas e citadas individualmente. O terceiro lote corresponde aos 17 registros incorporados pela busca de sensibilidade: sete textos integrais abertos puderam ser consultados e cinco acrescentaram resultados quantitativos, desenho de validação ou limitações ausentes do resumo. Esse uso é indicado explicitamente por estudo e não altera a natureza predominantemente documental da seleção, da extração e dos resultados agregados; os dez registros restantes do lote de sensibilidade permanecem caracterizados por título e resumo.</w:t>
      </w:r>
    </w:p>
    <w:p>
      <w:pPr>
        <w:pStyle w:val="BodyText"/>
        <w:rPr/>
      </w:pPr>
      <w:bookmarkStart w:id="10" w:name="X1a0c56458ef353c636b255008dfc2175e1ceed4"/>
      <w:r>
        <w:rPr/>
        <w:t>A extração do núcleo final utilizou título, resumo, palavras-chave e campos estruturados para identificar dimensões de sustentabilidade, critérios de priorização, métodos de apoio à decisão, contexto da edificação, ODS, ESG e lacunas relacionadas a instituições públicas de ensino superior. A unidade de contagem foi o registro único. Campos com múltiplas categorias foram tratados como respostas múltiplas, mantendo um único identificador por estudo em cada categoria. Dimensão e critério são categorias analiticamente distintas: a dimensão é uma categoria-guarda-chuva (técnica-operacional, institucional, ambiental, ciclo de vida, econômica ou social), enquanto o critério é um atributo operacional específico dentro de uma dimensão; por isso, termos como energia, risco, conforto e segurança são contabilizados como critérios de priorização e não duplicam a contagem das seis dimensões-guarda-chuva. As definições, regras de inclusão e exclusão e exemplos de cada categoria estão detalhados em manual de codificação de apoio à extração, mantido no repositório da revisão.</w:t>
      </w:r>
      <w:bookmarkEnd w:id="10"/>
    </w:p>
    <w:p>
      <w:pPr>
        <w:pStyle w:val="Heading2"/>
        <w:rPr/>
      </w:pPr>
      <w:bookmarkStart w:id="11" w:name="sec%3Abuscaia"/>
      <w:r>
        <w:rPr/>
        <w:t>Busca complementar de sensibilidade para inteligência artificial e aprendizado de máquina</w:t>
      </w:r>
    </w:p>
    <w:p>
      <w:pPr>
        <w:pStyle w:val="FirstParagraph"/>
        <w:rPr/>
      </w:pPr>
      <w:r>
        <w:rPr/>
        <w:t>As quatro expressões booleanas do núcleo original (Tabela </w:t>
      </w:r>
      <w:hyperlink w:anchor="tab%3Aestrategiabusca">
        <w:r>
          <w:rPr>
            <w:rStyle w:val="Hyperlink"/>
          </w:rPr>
          <w:t>4</w:t>
        </w:r>
      </w:hyperlink>
      <w:r>
        <w:rPr/>
        <w:t>) recuperaram inteligência artificial (IA) e aprendizado de máquina apenas de forma incidental: nenhuma das questões originalmente formuladas (RQ0 a RQ5) continha dicionário de termos dedicado ao tema, e o método de decisão nomeado mais próximo (RQ3) cobre exclusivamente instrumentos multicritério, como MCDM, AHP e TOPSIS. Para verificar se essa lacuna subestimava a presença do tema no campo, uma busca complementar de sensibilidade foi conduzida nas mesmas três bases, com expressões voltadas explicitamente a IA e aprendizado de máquina aplicados a manutenção e gestão predial, recuperando 3.169 registros na Scopus, 1.559 na Web of Science e 2.000 no Crossref, totalizando 6.728 ocorrências brutas.</w:t>
      </w:r>
    </w:p>
    <w:p>
      <w:pPr>
        <w:pStyle w:val="BodyText"/>
        <w:rPr/>
      </w:pPr>
      <w:r>
        <w:rPr/>
        <w:t>Os registros da busca de sensibilidade foram normalizados no mesmo esquema de campos do núcleo original e deduplicados em cascata: DOI normalizado, identificador próprio de fonte, título normalizado exato e título aproximado com confirmação por ano, autor ou periódico, aplicada intra-base, entre bases e contra o corpus consolidado de 9.542 registros. Do total bruto, 359 já constavam do corpus original e 4.889 registros únicos seguiram para auditoria temática.</w:t>
      </w:r>
    </w:p>
    <w:p>
      <w:pPr>
        <w:pStyle w:val="BodyText"/>
        <w:rPr/>
      </w:pPr>
      <w:r>
        <w:rPr/>
        <w:t xml:space="preserve">Uma nova pergunta de pesquisa (RQ6), dedicada a IA e aprendizado de máquina, foi formalizada em manual de codificação próprio, com dois níveis de termos: um conjunto que confirma isoladamente uma técnica computacional (por exemplo, </w:t>
      </w:r>
      <w:r>
        <w:rPr>
          <w:i/>
          <w:iCs/>
        </w:rPr>
        <w:t>machine learning</w:t>
      </w:r>
      <w:r>
        <w:rPr/>
        <w:t xml:space="preserve">, </w:t>
      </w:r>
      <w:r>
        <w:rPr>
          <w:i/>
          <w:iCs/>
        </w:rPr>
        <w:t>neural network</w:t>
      </w:r>
      <w:r>
        <w:rPr/>
        <w:t xml:space="preserve">, </w:t>
      </w:r>
      <w:r>
        <w:rPr>
          <w:i/>
          <w:iCs/>
        </w:rPr>
        <w:t>random forest</w:t>
      </w:r>
      <w:r>
        <w:rPr/>
        <w:t xml:space="preserve">, </w:t>
      </w:r>
      <w:r>
        <w:rPr>
          <w:i/>
          <w:iCs/>
        </w:rPr>
        <w:t>large language model</w:t>
      </w:r>
      <w:r>
        <w:rPr/>
        <w:t xml:space="preserve">) e outro de termos ambíguos que exigem contexto adicional e nunca confirmam IA isoladamente (por exemplo, manutenção preditiva, BIM, </w:t>
      </w:r>
      <w:r>
        <w:rPr>
          <w:i/>
          <w:iCs/>
        </w:rPr>
        <w:t>digital twin</w:t>
      </w:r>
      <w:r>
        <w:rPr/>
        <w:t xml:space="preserve">, IoT e </w:t>
      </w:r>
      <w:r>
        <w:rPr>
          <w:i/>
          <w:iCs/>
        </w:rPr>
        <w:t>decision tree</w:t>
      </w:r>
      <w:r>
        <w:rPr/>
        <w:t xml:space="preserve"> fora de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(Deng, Menassa, and Kamat 2021; Das 2025). Os 4.889 registros foram classificados, sem amostragem, em seis classes de evidência de IA e aprendizado de máquina; os registros sem resumo disponível na fonte, concentrados no Crossref, receberam nível de confiança rebaixado por definição.</w:t>
      </w:r>
    </w:p>
    <w:p>
      <w:pPr>
        <w:pStyle w:val="BodyText"/>
        <w:rPr/>
      </w:pPr>
      <w:bookmarkStart w:id="12" w:name="sec%3Ametodologia"/>
      <w:bookmarkStart w:id="13" w:name="sec%3Abuscaia"/>
      <w:r>
        <w:rPr/>
        <w:t>A classificação produziu 20 candidatos novos ao núcleo. A revisão individual de título e resumo removeu oito cuja aplicação, apesar de tecnicamente confirmada, ocorria em domínio industrial, aeroespacial ou veicular sem relação com edificações, restando 12 novos registros. Sete registros já pertencentes ao corpus original, previamente classificados como secundários ou excluídos por um dicionário que não reconhecia IA, foram reavaliados sob a RQ6: cinco foram promovidos ao núcleo principal e dois permaneceram secundários, por não apresentarem, no resumo disponível, relação explícita com manutenção predial. Ao final, 17 registros passaram a integrar o núcleo temático, elevando-o de 104 para 121 registros, com extração qualitativa de dimensões, critérios, métodos e contexto realizada sob o mesmo vocabulário fechado e os mesmos procedimentos do núcleo original, sem leitura de texto completo.</w:t>
      </w:r>
      <w:bookmarkEnd w:id="12"/>
      <w:bookmarkEnd w:id="13"/>
    </w:p>
    <w:p>
      <w:pPr>
        <w:pStyle w:val="Heading1"/>
        <w:rPr/>
      </w:pPr>
      <w:bookmarkStart w:id="14" w:name="sec%3Apanorama"/>
      <w:r>
        <w:rPr/>
        <w:t>Panorama do núcleo temático</w:t>
      </w:r>
    </w:p>
    <w:p>
      <w:pPr>
        <w:pStyle w:val="FirstParagraph"/>
        <w:rPr/>
      </w:pPr>
      <w:r>
        <w:rPr/>
        <w:t>O núcleo temático vigente reúne 121 registros publicados entre 2010 e 2026, sendo 104 do núcleo original e 17 incorporados pela busca complementar de sensibilidade para inteligência artificial e aprendizado de máquina (Seção </w:t>
      </w:r>
      <w:hyperlink w:anchor="sec%3Abuscaia">
        <w:r>
          <w:rPr>
            <w:rStyle w:val="Hyperlink"/>
          </w:rPr>
          <w:t>3.4</w:t>
        </w:r>
      </w:hyperlink>
      <w:r>
        <w:rPr/>
        <w:t>). O período de 2019 a 2026 concentra 101 registros, correspondentes a 83,5% do núcleo, com maior frequência em 2025, quando foram identificados 29 estudos. O Gráfico </w:t>
      </w:r>
      <w:hyperlink w:anchor="fig%3Atemporal">
        <w:r>
          <w:rPr>
            <w:rStyle w:val="Hyperlink"/>
          </w:rPr>
          <w:t>2</w:t>
        </w:r>
      </w:hyperlink>
      <w:r>
        <w:rPr/>
        <w:t xml:space="preserve"> apresenta a distribuição anual.</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Distribuição temporal do núcleo temático vigente</w:t>
      </w:r>
    </w:p>
    <w:p>
      <w:pPr>
        <w:pStyle w:val="BodyText"/>
        <w:rPr/>
      </w:pPr>
      <w:r>
        <w:rPr/>
        <w:t>A deduplicação preservou todas as bases em que cada estudo foi recuperado. Entre os 121 registros únicos, 67 foram encontrados apenas na Scopus, 41 na Scopus e na Web of Science, sete apenas na Web of Science, três nas três bases, dois na Scopus e no Crossref e um apenas no Crossref. Por essa razão, a contagem por base representa proveniência e admite respostas múltiplas: 113 registros possuem origem Scopus, 51 possuem origem Web of Science e seis possuem origem Crossref. Esses valores não são tamanhos distintos do corpus: o núcleo permanece composto por 121 registros únicos, e um mesmo registro pode ter sido recuperado em mais de uma base. Nenhum dos 17 registros incorporados pela busca de sensibilidade teve origem exclusiva no Crossref, base em que a ausência sistemática de resumo reduziu a taxa de aprovação na triagem.</w:t>
      </w:r>
    </w:p>
    <w:p>
      <w:pPr>
        <w:pStyle w:val="BodyText"/>
        <w:rPr/>
      </w:pPr>
      <w:r>
        <w:rPr/>
        <w:t xml:space="preserve">A tipologia documental foi harmonizada para evitar que rótulos equivalentes fossem apresentados como categorias distintas. Os rótulos </w:t>
      </w:r>
      <w:r>
        <w:rPr>
          <w:i/>
          <w:iCs/>
        </w:rPr>
        <w:t>Journal</w:t>
      </w:r>
      <w:r>
        <w:rPr/>
        <w:t xml:space="preserve">, </w:t>
      </w:r>
      <w:r>
        <w:rPr>
          <w:i/>
          <w:iCs/>
        </w:rPr>
        <w:t>JOUR</w:t>
      </w:r>
      <w:r>
        <w:rPr/>
        <w:t xml:space="preserve"> e </w:t>
      </w:r>
      <w:r>
        <w:rPr>
          <w:i/>
          <w:iCs/>
        </w:rPr>
        <w:t>journal-article</w:t>
      </w:r>
      <w:r>
        <w:rPr/>
        <w:t xml:space="preserve"> foram reunidos como artigo de periódico. </w:t>
      </w:r>
      <w:r>
        <w:rPr>
          <w:i/>
          <w:iCs/>
        </w:rPr>
        <w:t>Conference Proceeding</w:t>
      </w:r>
      <w:r>
        <w:rPr/>
        <w:t xml:space="preserve"> e </w:t>
      </w:r>
      <w:r>
        <w:rPr>
          <w:i/>
          <w:iCs/>
        </w:rPr>
        <w:t>CPAPER</w:t>
      </w:r>
      <w:r>
        <w:rPr/>
        <w:t xml:space="preserve"> foram reunidos como trabalho em evento. </w:t>
      </w:r>
      <w:r>
        <w:rPr>
          <w:i/>
          <w:iCs/>
        </w:rPr>
        <w:t>Book Series</w:t>
      </w:r>
      <w:r>
        <w:rPr/>
        <w:t xml:space="preserve"> e </w:t>
      </w:r>
      <w:r>
        <w:rPr>
          <w:i/>
          <w:iCs/>
        </w:rPr>
        <w:t>Book</w:t>
      </w:r>
      <w:r>
        <w:rPr/>
        <w:t xml:space="preserve"> foram reunidos como livro ou série de livro. A Tabela </w:t>
      </w:r>
      <w:hyperlink w:anchor="tab%3Abasetipo">
        <w:r>
          <w:rPr>
            <w:rStyle w:val="Hyperlink"/>
          </w:rPr>
          <w:t>8</w:t>
        </w:r>
      </w:hyperlink>
      <w:r>
        <w:rPr/>
        <w:t xml:space="preserve"> apresenta as duas dimensões separadamente.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bookmarkStart w:id="15" w:name="sec%3Apanorama"/>
      <w:r>
        <w:rPr/>
        <w:t>A concentração em artigos de periódico e a baixa presença exclusiva do Crossref descrevem a composição documental do núcleo, não a qualidade individual dos estudos. Do mesmo modo, a sobreposição entre bases expressa proveniência da recuperação e não constitui replicação independente de evidência.</w:t>
      </w:r>
      <w:bookmarkEnd w:id="15"/>
    </w:p>
    <w:p>
      <w:pPr>
        <w:pStyle w:val="Heading1"/>
        <w:rPr/>
      </w:pPr>
      <w:bookmarkStart w:id="16" w:name="sec%3Abibliometriaampliada"/>
      <w:r>
        <w:rPr/>
        <w:t>Estrutura bibliométrica do campo</w:t>
      </w:r>
    </w:p>
    <w:p>
      <w:pPr>
        <w:pStyle w:val="FirstParagraph"/>
        <w:rPr/>
      </w:pPr>
      <w:r>
        <w:rPr/>
        <w:t>A camada bibliométrica utilizou os 372 registros classificados no estrato bibliométrico forte. Esse estrato exige aderência simultânea ao objeto predial, à manutenção ou gestão, à sustentabilidade e à presença de método, dados ou resultados, além de resumo suficiente e ausência de sinal forte de exclusão. Conforme a relação entre conjuntos apresentada na Seção </w:t>
      </w:r>
      <w:hyperlink w:anchor="sec%3Ametodologia">
        <w:r>
          <w:rPr>
            <w:rStyle w:val="Hyperlink"/>
          </w:rPr>
          <w:t>3</w:t>
        </w:r>
      </w:hyperlink>
      <w:r>
        <w:rPr/>
        <w:t>, 109 desses registros também integram o núcleo temático vigente; 263 são exclusivos da camada bibliométrica e 12 registros do núcleo temático não pertencem ao estrato de 372. Os conjuntos são, portanto, parcialmente sobrepostos e cumprem funções analíticas distintas. Dos 372 registros, todos possuíam título, ano, fonte e resumo, 329 (88,4%) continham palavras-chave, 327 (87,9%) tinham DOI e 91 (24,5%) apresentavam autores. A ausência de afiliações e referências citadas impediu, respectivamente, a construção de uma rede de colaboração representativa e o acoplamento bibliográfico.</w:t>
      </w:r>
    </w:p>
    <w:p>
      <w:pPr>
        <w:pStyle w:val="BodyText"/>
        <w:rPr/>
      </w:pPr>
      <w:r>
        <w:rPr/>
        <w:t xml:space="preserve">As palavras-chave foram normalizadas quanto a caixa, acentuação, singular e variantes ortográficas. Expressões equivalentes, como </w:t>
      </w:r>
      <w:r>
        <w:rPr>
          <w:i/>
          <w:iCs/>
        </w:rPr>
        <w:t>building information modeling</w:t>
      </w:r>
      <w:r>
        <w:rPr/>
        <w:t xml:space="preserve">, </w:t>
      </w:r>
      <w:r>
        <w:rPr>
          <w:i/>
          <w:iCs/>
        </w:rPr>
        <w:t>building information modelling</w:t>
      </w:r>
      <w:r>
        <w:rPr/>
        <w:t xml:space="preserve"> e BIM, foram reunidas. A rede foi construída por coocorrência no mesmo registro e normalizada pelo cosseno das frequências marginais. O mapa temático agrupou os 40 termos mais frequentes e posicionou os grupos segundo centralidade externa e densidade interna. A evolução temática comparou 157 registros de 2010–2020 com 215 registros de 2021–2026. Essas medidas descrevem relações documentais e não representam qualidade metodológica, causalidade ou força de evidência.</w:t>
      </w:r>
    </w:p>
    <w:p>
      <w:pPr>
        <w:pStyle w:val="BodyText"/>
        <w:rPr/>
      </w:pPr>
      <w:r>
        <w:rPr/>
        <w:t>O Gráfico </w:t>
      </w:r>
      <w:hyperlink w:anchor="fig%3Afontes372">
        <w:r>
          <w:rPr>
            <w:rStyle w:val="Hyperlink"/>
          </w:rPr>
          <w:t>3</w:t>
        </w:r>
      </w:hyperlink>
      <w:r>
        <w:rPr/>
        <w:t xml:space="preserve"> sintetiza a distribuição editorial do corpus, composto por 208 fontes. O núcleo aproximado de Bradford reuniu 13 fontes responsáveis por cerca de um terço dos registros. </w:t>
      </w:r>
      <w:r>
        <w:rPr>
          <w:i/>
          <w:iCs/>
        </w:rPr>
        <w:t>Energy and Buildings</w:t>
      </w:r>
      <w:r>
        <w:rPr/>
        <w:t xml:space="preserve"> apresentou 18 registros, seguida por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A presença simultânea de periódicos de energia, engenharia de edificações, gestão de facilidades e sustentabilidade confirma a natureza interdisciplinar do campo.</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Fontes mais frequentes no corpus bibliométrico ampliado</w:t>
      </w:r>
    </w:p>
    <w:p>
      <w:pPr>
        <w:pStyle w:val="BodyText"/>
        <w:rPr/>
      </w:pPr>
      <w:r>
        <w:rPr/>
        <w:t>O Gráfico </w:t>
      </w:r>
      <w:hyperlink w:anchor="fig%3Amapatematico372">
        <w:r>
          <w:rPr>
            <w:rStyle w:val="Hyperlink"/>
          </w:rPr>
          <w:t>4</w:t>
        </w:r>
      </w:hyperlink>
      <w:r>
        <w:rPr/>
        <w:t xml:space="preserve"> apresenta o mapa temático, no qual foram identificados dois eixos de maior centralidade. O primeiro articulou BIM, desempenho da edificação e </w:t>
      </w:r>
      <w:r>
        <w:rPr>
          <w:i/>
          <w:iCs/>
        </w:rPr>
        <w:t>digital twins</w:t>
      </w:r>
      <w:r>
        <w:rPr/>
        <w:t>, com centralidade e densidade superiores às medianas do campo. O segundo aproximou gestão de facilidades, edifícios inteligentes e manutenção preditiva, apresentando elevada centralidade e menor densidade interna. Os grupos relacionados a edificações verdes, avaliação do ciclo de vida e desenvolvimento sustentável apresentaram maior especialização interna e menor integração com os demais temas. Energia, emissões e operação predial ocuparam posição menos densa, indicando um conjunto ainda heterogêneo no vocabulário indexado.</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Mapa temático por centralidade e densidade das palavras-chave</w:t>
      </w:r>
    </w:p>
    <w:p>
      <w:pPr>
        <w:pStyle w:val="BodyText"/>
        <w:rPr/>
      </w:pPr>
      <w:r>
        <w:rPr/>
        <w:t>O Gráfico </w:t>
      </w:r>
      <w:hyperlink w:anchor="fig%3Aredecor372">
        <w:r>
          <w:rPr>
            <w:rStyle w:val="Hyperlink"/>
          </w:rPr>
          <w:t>5</w:t>
        </w:r>
      </w:hyperlink>
      <w:r>
        <w:rPr/>
        <w:t xml:space="preserve"> mostra a rede normalizada, que reforça a posição de BIM e gestão de facilidades como elementos de conexão. BIM apareceu associado a gestão de facilidades, </w:t>
      </w:r>
      <w:r>
        <w:rPr>
          <w:i/>
          <w:iCs/>
        </w:rPr>
        <w:t>digital twins</w:t>
      </w:r>
      <w:r>
        <w:rPr/>
        <w:t>, manutenção preditiva, operação e desempenho; gestão de facilidades conectou-se a desempenho, operação e manutenção, gestão de ativos e internet das coisas. Em outro agrupamento, avaliação do ciclo de vida aproximou-se de edificações residenciais e desenvolvimento sustentável. As ligações representam coocorrência normalizada e não demonstram que os conceitos tenham sido operacionalizados conjuntamente em um mesmo modelo decisório.</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Rede normalizada de coocorrência de palavras-chave</w:t>
      </w:r>
    </w:p>
    <w:p>
      <w:pPr>
        <w:pStyle w:val="BodyText"/>
        <w:rPr/>
      </w:pPr>
      <w:r>
        <w:rPr/>
        <w:t>O Gráfico </w:t>
      </w:r>
      <w:hyperlink w:anchor="fig%3Aevolucaotematica372">
        <w:r>
          <w:rPr>
            <w:rStyle w:val="Hyperlink"/>
          </w:rPr>
          <w:t>6</w:t>
        </w:r>
      </w:hyperlink>
      <w:r>
        <w:rPr/>
        <w:t xml:space="preserve"> compara os períodos e mostra mudança do vocabulário do campo. A participação de BIM aumentou 7,3 pontos percentuais entre os dois períodos, enquanto </w:t>
      </w:r>
      <w:r>
        <w:rPr>
          <w:i/>
          <w:iCs/>
        </w:rPr>
        <w:t>digital twins</w:t>
      </w:r>
      <w:r>
        <w:rPr/>
        <w:t xml:space="preserve"> cresceram 4,7 pontos, emissões de carbono 2,7 pontos e avaliação do ciclo de vida 1,9 ponto. Em sentido contrário, diminuíram proporcionalmente as expressões edificação verde, eficiência energética, manutenção predial e desempenho da edificação. A redução relativa não comprova abandono desses assuntos: pode indicar incorporação dos temas tradicionais a vocabulários tecnológicos e de ciclo de vida mais específicos.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Evolução das palavras-chave entre 2010–2020 e 2021–2026</w:t>
      </w:r>
    </w:p>
    <w:p>
      <w:pPr>
        <w:pStyle w:val="BodyText"/>
        <w:rPr/>
      </w:pPr>
      <w:r>
        <w:rPr/>
        <w:t xml:space="preserve">Em conjunto, a camada bibliométrica mostra transição de um vocabulário concentrado em eficiência, desempenho e edificações verdes para outro mais conectado a BIM, </w:t>
      </w:r>
      <w:r>
        <w:rPr>
          <w:i/>
          <w:iCs/>
        </w:rPr>
        <w:t>digital twins</w:t>
      </w:r>
      <w:r>
        <w:rPr/>
        <w:t>, carbono, ciclo de vida e manutenção preditiva. Esse resultado descreve a estrutura documental do campo, mas não demonstra maturidade decisória. Por isso, as seções seguintes usam o núcleo temático vigente de 121 registros para examinar se tais temas se convertem em dimensões, critérios, métodos e regras aplicáveis à priorização pública universitária.</w:t>
      </w:r>
      <w:bookmarkEnd w:id="16"/>
    </w:p>
    <w:p>
      <w:pPr>
        <w:pStyle w:val="Heading1"/>
        <w:rPr/>
      </w:pPr>
      <w:bookmarkStart w:id="17" w:name="sec%3Acriterios"/>
      <w:r>
        <w:rPr/>
        <w:t>Critérios de sustentabilidade e priorização</w:t>
      </w:r>
    </w:p>
    <w:p>
      <w:pPr>
        <w:pStyle w:val="FirstParagraph"/>
        <w:rPr/>
      </w:pPr>
      <w:r>
        <w:rPr/>
        <w:t>Em resposta à RQ1, a codificação documental identificou seis dimensões, com respostas múltiplas: técnica-operacional em 116 registros, institucional em 97, ambiental em 92, ciclo de vida em 65, econômica em 63 e social em 59. O predomínio das duas primeiras reflete também a amplitude do manual de codificação e não demonstra aplicação empírica ou maior importância científica. A composição é compatível com a gestão sustentável de facilidades, que articula impactos ambientais, sociais e econômicos nos níveis estratégico, tático e operacional (Nielsen, Sarasoja, and Galamba 2016; Okoro 2023), e com avaliações de edifícios educacionais que combinam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Dimensões de sustentabilidade identificadas no núcleo temático vigente</w:t>
      </w:r>
    </w:p>
    <w:p>
      <w:pPr>
        <w:pStyle w:val="BodyText"/>
        <w:rPr/>
      </w:pPr>
      <w:r>
        <w:rPr/>
        <w:t>A referência explícita aos ODS apareceu em um registro, que integrou sustentabilidade, AHP, TOPSIS e otimização na alocação de prestadores de manutenção pública (Masmoudi et al. 2026). ESG não foi identificado nos campos auditados, embora componentes ambientais, sociais e institucionais fossem frequentes. A comparação com a literatura recente indica que o uso explícito desse vocabulário em gestão de facilidades ainda é emergente (Ramantswana et al. 2026).</w:t>
      </w:r>
    </w:p>
    <w:p>
      <w:pPr>
        <w:pStyle w:val="BodyText"/>
        <w:rPr/>
      </w:pPr>
      <w:r>
        <w:rPr/>
        <w:t>Em resposta à RQ2, desempenho operacional aparece em 99 registros, informação e dados em 82, custo em 63, energia e vida útil em 44 cada. Condição física, risco e manutenibilidade completam o núcleo técnico; conforto, segurança, satisfação, emissões, resíduos e água representam efeitos sociais e ambientais específicos.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t>Para a gestão pública universitária, desempenho sustenta indicadores de continuidade e falha; informação, requisitos de rastreabilidade; e custo, a distinção entre correção emergencial, manutenção planejada e renovação. Estudos com registros de pagamento (Kim et al. 2018) e planejamento conjunto de manutenção, renovação e energia (Nägeli et al. 2019) reforçam essa combinação.</w:t>
      </w:r>
    </w:p>
    <w:p>
      <w:pPr>
        <w:pStyle w:val="BodyText"/>
        <w:rPr/>
      </w:pPr>
      <w:bookmarkStart w:id="18" w:name="sec%3Acriterios"/>
      <w:r>
        <w:rPr/>
        <w:t>As leituras integrais qualificam os mecanismos subjacentes. Aliu et al. (2025) reportam duas bases de cálculo distintas: a operação e a manutenção podem superar 80% do custo total do ciclo de vida, enquanto os custos anuais de operação e manutenção podem representar entre 50% e 70% dos custos operacionais. Othman and Kamal (2023) indicam que até 50% das dificuldades de manutenção poderiam ser evitadas por decisões ainda na concepção. Em sistemas vegetados verticais, acesso, irrigação, drenagem, segurança, degradação, supervisão e coordenação confirmam que manutenibilidade integra desempenho, custo, risco e recursos (Chew and Conejos 2016; Conejos, Chew, and Azril 2019).</w:t>
      </w:r>
      <w:bookmarkEnd w:id="18"/>
    </w:p>
    <w:p>
      <w:pPr>
        <w:pStyle w:val="Heading1"/>
        <w:rPr/>
      </w:pPr>
      <w:bookmarkStart w:id="19" w:name="sec%3Ametodos"/>
      <w:r>
        <w:rPr/>
        <w:t>Métodos de apoio à decisão</w:t>
      </w:r>
    </w:p>
    <w:p>
      <w:pPr>
        <w:pStyle w:val="FirstParagraph"/>
        <w:rPr/>
      </w:pPr>
      <w:r>
        <w:rPr/>
        <w:t xml:space="preserve">Em resposta à RQ3, a categoria ampla </w:t>
      </w:r>
      <w:r>
        <w:rPr>
          <w:rStyle w:val="VerbatimChar"/>
        </w:rPr>
        <w:t>framework</w:t>
      </w:r>
      <w:r>
        <w:rPr/>
        <w:t xml:space="preserve"> foi atribuída a 101 registros. A modelagem da informação da construção (BIM, do inglês </w:t>
      </w:r>
      <w:r>
        <w:rPr>
          <w:i/>
          <w:iCs/>
        </w:rPr>
        <w:t>Building Information Modeling</w:t>
      </w:r>
      <w:r>
        <w:rPr/>
        <w:t xml:space="preserve">) aparece em 28 registros, e a categoria de apoio à decisão, registrada no manual como </w:t>
      </w:r>
      <w:r>
        <w:rPr>
          <w:rStyle w:val="VerbatimChar"/>
        </w:rPr>
        <w:t>decision_support</w:t>
      </w:r>
      <w:r>
        <w:rPr/>
        <w:t xml:space="preserve">, em 29. Seguem-se aprendizado de máquina em 26, otimização em 19, pontuação em 17 e custo do ciclo de vida em 16. Entre os métodos nomeados, AHP ocorre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A categoria </w:t>
      </w:r>
      <w:r>
        <w:rPr>
          <w:rStyle w:val="VerbatimChar"/>
        </w:rPr>
        <w:t>framework</w:t>
      </w:r>
      <w:r>
        <w:rPr/>
        <w:t xml:space="preserve"> reúne estruturas, modelos e referenciais; não equivale, por si, a método multicritério aplicado ou validado.</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Abordagens e métodos de apoio à decisão identificados no núcleo temático vigente</w:t>
      </w:r>
    </w:p>
    <w:p>
      <w:pPr>
        <w:pStyle w:val="BodyText"/>
        <w:rPr/>
      </w:pPr>
      <w:r>
        <w:rPr/>
        <w:t xml:space="preserve">BIM foi identificado em 28 registros (23,1%) e </w:t>
      </w:r>
      <w:r>
        <w:rPr>
          <w:i/>
          <w:iCs/>
        </w:rPr>
        <w:t>digital twin</w:t>
      </w:r>
      <w:r>
        <w:rPr/>
        <w:t xml:space="preserve"> em 11 (9,1%), presença que indica trajetória tecnológica, não maturidade das universidades públicas. Aprendizado de máquina, tema da busca complementar de sensibilidade (Seção </w:t>
      </w:r>
      <w:hyperlink w:anchor="sec%3Abuscaia">
        <w:r>
          <w:rPr>
            <w:rStyle w:val="Hyperlink"/>
          </w:rPr>
          <w:t>3.4</w:t>
        </w:r>
      </w:hyperlink>
      <w:r>
        <w:rPr/>
        <w:t>), passou de nove para 26 registros (21,5%) entre o núcleo original e o núcleo vigente. Esse aumento decorre do desenho da rodada complementar e não constitui estimativa de prevalência independente no campo. Os demais métodos cresceram de forma modesta e proporcional ao aumento geral do núcleo.</w:t>
      </w:r>
    </w:p>
    <w:p>
      <w:pPr>
        <w:pStyle w:val="BodyText"/>
        <w:rPr/>
      </w:pPr>
      <w:r>
        <w:rPr/>
        <w:t xml:space="preserve">Esses resultados não tornam BIM, </w:t>
      </w:r>
      <w:r>
        <w:rPr>
          <w:i/>
          <w:iCs/>
        </w:rPr>
        <w:t>digital twin</w:t>
      </w:r>
      <w:r>
        <w:rPr/>
        <w:t xml:space="preserve"> ou aprendizado de máquina requisitos para a especificação proposta. A arquitetura informacional deve funcionar com planilhas, cadastros, inspeções e ordens de serviço e admitir integração progressiva a plataformas digitais ou módulos preditivos, condicionada à validação do desempenho em operação real. As aplicações mais completas de apoio multicritério no núcleo exercem funções distintas: ANP difuso na avaliação de edifícios educacionais (Alfalah et al. 2022), Delphi modificado em gestão de </w:t>
      </w:r>
      <w:r>
        <w:rPr>
          <w:i/>
          <w:iCs/>
        </w:rPr>
        <w:t>campus</w:t>
      </w:r>
      <w:r>
        <w:rPr/>
        <w:t xml:space="preserve"> (Naji, Gunduz, and Maki 2023) e AHP, TOPSIS e otimização na alocação de prestadores públicos (Masmoudi et al. 2026). Essas aplicações são retomadas por remissão nas seções seguintes, sem repetição do mesmo agrupamento de referências.</w:t>
      </w:r>
    </w:p>
    <w:p>
      <w:pPr>
        <w:pStyle w:val="BodyText"/>
        <w:rPr/>
      </w:pPr>
      <w:r>
        <w:rPr/>
        <w:t xml:space="preserve">A leitura integral do lote incorporado permite responder diretamente à RQ6 sem confundir técnica computacional com governança decisória. Os estudos empíricos consultados empregam aprendizado de máquina para produzir variáveis operacionais: previsão de demanda de ventilação, com modelo treinado em três edifícios e economia de até 7,5% frente ao controle tradicional (Motuzienė et al. 2025); regressão em grafos para estimar vida útil de componentes, na qual a GCN alcançou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and Mundt-Petersen 2025); e previsão conjunta de eletricidade, gás e água, com separação entre treino, validação e teste e erros distintos por variável (Suh and Chang 2012). Esses resultados correspondem a previsão e otimização operacional; diagnósticos, classificação de danos e apoio à decisão também aparecem no lote, mas, quando o texto integral não estava disponível, permaneceram caracterizados somente pelo resumo.</w:t>
      </w:r>
    </w:p>
    <w:p>
      <w:pPr>
        <w:pStyle w:val="BodyText"/>
        <w:rPr/>
      </w:pPr>
      <w:r>
        <w:rPr/>
        <w:t>As duas revisões integrais consultadas reforçam os limites dessa evidência. A síntese de IoT e IA não utilizou dados empíricos próprios e identificou viés para o Norte Global, além de necessidades de interoperabilidade, privacidade, governança e avaliação do ciclo de vida (Das 2025). Na revisão de 76 estudos sobre ambientes internos conectados, 41 integraram energia, conforto e sustentabilidade, enquanto 35 omitiram pelo menos uma dessas dimensões; as faixas de economia divulgadas sintetizam aplicações heterogêneas e não representam o desempenho de um único modelo (Alici 2026). Em resposta à RQ6, a busca de sensibilidade revela uma camada relevante de evidências preditivas, diagnósticas e operacionais, mas não demonstra integração sistemática com ponderação institucional, regras de veto ou métodos multicritério. O módulo computacional pode informar critérios; não substitui a decisão pública.</w:t>
      </w:r>
    </w:p>
    <w:p>
      <w:pPr>
        <w:pStyle w:val="BodyText"/>
        <w:rPr/>
      </w:pPr>
      <w:r>
        <w:rPr/>
        <w:t>A matriz comparativa dos 17 registros, preservada como material suplementar, classificou cada estudo pela função analítica predominante. Dez concentram-se em previsão ou previsão combinada à otimização, dois em diagnóstico e classificação de danos e cinco em síntese ou integração tecnológica. Em três estudos, a saída se aproxima de uma ação operacional ou recomendação direta; nos demais, funciona como estimativa, diagnóstico ou infraestrutura informacional que ainda requer critérios, preferências, restrições e responsabilização institucional. Nenhum dos 17 demonstrou uma cadeia completa que ligasse treinamento do modelo, validação externa, ponderação multicritério, regra de veto e decisão pública auditável.</w:t>
      </w:r>
    </w:p>
    <w:p>
      <w:pPr>
        <w:pStyle w:val="BodyText"/>
        <w:rPr/>
      </w:pPr>
      <w:r>
        <w:rPr/>
        <w:t xml:space="preserve">Além do lote de sensibilidade, as leituras integrais do núcleo original distinguem integração informacional, simulação e estruturação decisória. A revisão de 123 estudos não encontrou </w:t>
      </w:r>
      <w:r>
        <w:rPr>
          <w:i/>
          <w:iCs/>
        </w:rPr>
        <w:t>digital twin</w:t>
      </w:r>
      <w:r>
        <w:rPr/>
        <w:t xml:space="preserve"> com controle, otimização e retroalimentação plenos (Deng, Menassa, and Kamat 2021); outros trabalhos propõem ontologia de ativos, BIM 7D e comparação de estratégias por simulação (Espinosa Gispert et al. 2025; Goretti and Kaming 2023; Ferreira et al. 2020). No plano decisório, foram identificados um sistema conceitual Lean Six Sigma sem validação empírica, uma avaliação sintética fuzzy e um modelo de raciocínio baseado em casos com Fuzzy-AHP (Aldairi, Khan, and Munive-Hernandez 2017; Yoon and Cha 2018; Park, Kwon, and Ahn 2019). Esses casos confirmam que menção a método, aplicação formal e validação são níveis analíticos distintos; não demonstram adoção institucional generalizada.</w:t>
      </w:r>
      <w:bookmarkEnd w:id="19"/>
    </w:p>
    <w:p>
      <w:pPr>
        <w:pStyle w:val="Heading1"/>
        <w:rPr/>
      </w:pPr>
      <w:bookmarkStart w:id="20" w:name="sec%3Aaplicabilidade"/>
      <w:r>
        <w:rPr/>
        <w:t>Aplicabilidade a edificações públicas universitárias</w:t>
      </w:r>
    </w:p>
    <w:p>
      <w:pPr>
        <w:pStyle w:val="FirstParagraph"/>
        <w:rPr/>
      </w:pPr>
      <w:r>
        <w:rPr/>
        <w:t xml:space="preserve">Em resposta à RQ4, a caracterização documental identificou 101 registros sobre edificação genérica e 59 sobre portfólio predial. Entre as tipologias específicas, houve 17 registros sobre hospitais, 16 sobre edifícios comerciais, 15 residenciais, 14 universidades, dez </w:t>
      </w:r>
      <w:r>
        <w:rPr>
          <w:i/>
          <w:iCs/>
        </w:rPr>
        <w:t>campus</w:t>
      </w:r>
      <w:r>
        <w:rPr/>
        <w:t>, seis patrimônios históricos, cinco edifícios públicos, cinco escolas e um museu. As categorias são respostas múltiplas; edificação genérica é uma categoria-guarda-chuva, não uma tipologia homogênea. Em um registro, o contexto não pôde ser identificado no resumo.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de caso em universidades públicas documentaram predomínio corretivo, registros fragmentados, ausência de indicadores ou inspeções periódicas e fragilidades na manutenção preventiva (Lateef, Khamidi, and Idrus 2010; Barbosa et al. 2020). Outros trabalhos identificaram fatores críticos em universidades (Awuzie and Isa 2017), critérios ambientais, econômicos e sociais em edifícios educacionais (Alfalah et al. 2022), indicadores operacionais de </w:t>
      </w:r>
      <w:r>
        <w:rPr>
          <w:i/>
          <w:iCs/>
        </w:rPr>
        <w:t>campus</w:t>
      </w:r>
      <w:r>
        <w:rPr/>
        <w:t xml:space="preserve"> (Naji, Gunduz, and Maki 2023), previsão orçamentária e uso de ordens de serviço (Martins and Espejo 2024; Morais, Paula, and Reis 2023). Esses resultados sustentam o registro de fonte e data dos dados, ausências, unidade comparada, vetos e histórico de parâmetros, usando entradas simples e exportáveis para prestação de contas.</w:t>
      </w:r>
    </w:p>
    <w:p>
      <w:pPr>
        <w:pStyle w:val="BodyText"/>
        <w:rPr/>
      </w:pPr>
      <w:r>
        <w:rPr/>
        <w:t xml:space="preserve">Em resposta à RQ5, 76 registros (62,8%) apresentaram alguma lacuna ou limitação identificável no resumo, enquanto 45 (37,2%) não continham lacuna identificável nesse nível documental. No campo </w:t>
      </w:r>
      <w:r>
        <w:rPr>
          <w:rStyle w:val="VerbatimChar"/>
        </w:rPr>
        <w:t>tipo_contribuicao_artigo</w:t>
      </w:r>
      <w:r>
        <w:rPr/>
        <w:t xml:space="preserve">, 12 registros (9,9%) foram classificados especificamente como </w:t>
      </w:r>
      <w:r>
        <w:rPr>
          <w:rStyle w:val="VerbatimChar"/>
        </w:rPr>
        <w:t>lacuna_para_ies_publicas</w:t>
      </w:r>
      <w:r>
        <w:rPr/>
        <w:t>. Essa categoria registra limitações de transferência, cobertura ou validação diretamente relacionadas a instituições públicas de ensino superior; os identificadores dos 12 registros estão preservados na tabela-fonte de lacunas do núcleo vigente.</w:t>
      </w:r>
    </w:p>
    <w:p>
      <w:pPr>
        <w:pStyle w:val="BodyText"/>
        <w:rPr/>
      </w:pPr>
      <w:r>
        <w:rPr/>
        <w:t xml:space="preserve">A baixa frequência de universidade, </w:t>
      </w:r>
      <w:r>
        <w:rPr>
          <w:i/>
          <w:iCs/>
        </w:rPr>
        <w:t>campus</w:t>
      </w:r>
      <w:r>
        <w:rPr/>
        <w:t xml:space="preserve"> e edifício público limita a evidência diretamente transferível a portfólios heterogêneos, com restrições orçamentárias, continuidade acadêmica e múltiplos usuários. A busca de sensibilidade para inteligência artificial (Seção </w:t>
      </w:r>
      <w:hyperlink w:anchor="sec%3Abuscaia">
        <w:r>
          <w:rPr>
            <w:rStyle w:val="Hyperlink"/>
          </w:rPr>
          <w:t>3.4</w:t>
        </w:r>
      </w:hyperlink>
      <w:r>
        <w:rPr/>
        <w:t xml:space="preserve">) elevou o contexto universitário de 11 para 14 registros, sem alterar essa conclusão: os três estudos promovidos ao núcleo vêm do mesmo </w:t>
      </w:r>
      <w:r>
        <w:rPr>
          <w:i/>
          <w:iCs/>
        </w:rPr>
        <w:t>campus</w:t>
      </w:r>
      <w:r>
        <w:rPr/>
        <w:t xml:space="preserve"> universitário taiwanês, a </w:t>
      </w:r>
      <w:r>
        <w:rPr>
          <w:i/>
          <w:iCs/>
        </w:rPr>
        <w:t>National Taiwan University</w:t>
      </w:r>
      <w:r>
        <w:rPr/>
        <w:t>, representando concentração em uma única instituição, não diversificação do contexto universitário.</w:t>
      </w:r>
    </w:p>
    <w:p>
      <w:pPr>
        <w:pStyle w:val="BodyText"/>
        <w:rPr/>
      </w:pPr>
      <w:r>
        <w:rPr/>
        <w:t xml:space="preserve">Estudos conduzidos em contextos africanos sugerem que, em universidades e instituições de ensino, resiliência institucional, governança, usuários e continuidade das atividades precisam ser considerados juntamente com a condição física (Awuzie and Isa 2017; Ndukuba 2025). Esses achados não são automaticamente generalizáveis às universidades públicas brasileiras e funcionam como hipóteses de transferência a serem validadas localmente. Em texto completo, um instrumento estrangeiro exigiu adaptação e concordância profissional em hospital público (Talib, Rajagopalan, and Yang 2013); três projetos mostraram perda de informação na transição entre construção e operação, enfrentada pela integração de BIM, </w:t>
      </w:r>
      <w:r>
        <w:rPr>
          <w:i/>
          <w:iCs/>
        </w:rPr>
        <w:t>Soft Landings</w:t>
      </w:r>
      <w:r>
        <w:rPr/>
        <w:t xml:space="preserve"> e comunicação (Tan, Zaman, and Sutrisna 2018). Em conjunto, as evidências sustentam governança da informação e validação contextual, sem equivaler a validação da especificação proposta.</w:t>
      </w:r>
      <w:bookmarkEnd w:id="20"/>
    </w:p>
    <w:p>
      <w:pPr>
        <w:pStyle w:val="Heading1"/>
        <w:rPr/>
      </w:pPr>
      <w:bookmarkStart w:id="21" w:name="sec%3Amatriz"/>
      <w:r>
        <w:rPr/>
        <w:t>Matriz de indicadores e fluxo para parametrização multicritério</w:t>
      </w:r>
    </w:p>
    <w:p>
      <w:pPr>
        <w:pStyle w:val="FirstParagraph"/>
        <w:rPr/>
      </w:pPr>
      <w:r>
        <w:rPr/>
        <w:t>O Gráfico </w:t>
      </w:r>
      <w:hyperlink w:anchor="fig%3Aheatmap">
        <w:r>
          <w:rPr>
            <w:rStyle w:val="Hyperlink"/>
          </w:rPr>
          <w:t>9</w:t>
        </w:r>
      </w:hyperlink>
      <w:r>
        <w:rPr/>
        <w:t xml:space="preserve"> apresenta a coocorrência documental entre os dez critérios e os dez instrumentos de apoio à decisão mais frequentes. Desempenho operacional e </w:t>
      </w:r>
      <w:r>
        <w:rPr>
          <w:rStyle w:val="VerbatimChar"/>
        </w:rPr>
        <w:t>framework</w:t>
      </w:r>
      <w:r>
        <w:rPr/>
        <w:t xml:space="preserve"> aparecem conjuntamente em 90 registros; informação e dados têm 75 coocorrências com </w:t>
      </w:r>
      <w:r>
        <w:rPr>
          <w:rStyle w:val="VerbatimChar"/>
        </w:rPr>
        <w:t>framework</w:t>
      </w:r>
      <w:r>
        <w:rPr/>
        <w:t xml:space="preserve"> e 28 com BIM; custo e </w:t>
      </w:r>
      <w:r>
        <w:rPr>
          <w:rStyle w:val="VerbatimChar"/>
        </w:rPr>
        <w:t>framework</w:t>
      </w:r>
      <w:r>
        <w:rPr/>
        <w:t xml:space="preserve"> aparecem em 57; e vida útil e custo do ciclo de vida, em 16. Essas relações registram codificação simultânea, sem comprovar operacionalização conjunta, associação estatística ou causalidade.</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Coocorrência entre critérios de priorização e instrumentos de apoio à decisão</w:t>
      </w:r>
    </w:p>
    <w:p>
      <w:pPr>
        <w:pStyle w:val="BodyText"/>
        <w:rPr/>
      </w:pPr>
      <w:r>
        <w:rPr/>
        <w:t>O Gráfico </w:t>
      </w:r>
      <w:hyperlink w:anchor="fig%3Amatrizanalitica">
        <w:r>
          <w:rPr>
            <w:rStyle w:val="Hyperlink"/>
          </w:rPr>
          <w:t>10</w:t>
        </w:r>
      </w:hyperlink>
      <w:r>
        <w:rPr/>
        <w:t xml:space="preserve"> reorganiza as coocorrências em cinco dimensões. A técnica-operacional apresenta 100 coocorrências com </w:t>
      </w:r>
      <w:r>
        <w:rPr>
          <w:rStyle w:val="VerbatimChar"/>
        </w:rPr>
        <w:t>framework</w:t>
      </w:r>
      <w:r>
        <w:rPr/>
        <w:t xml:space="preserve">, 28 com a categoria </w:t>
      </w:r>
      <w:r>
        <w:rPr>
          <w:rStyle w:val="VerbatimChar"/>
        </w:rPr>
        <w:t>decision_support</w:t>
      </w:r>
      <w:r>
        <w:rPr/>
        <w:t xml:space="preserve"> e 28 com BIM; a institucional tem 88 com </w:t>
      </w:r>
      <w:r>
        <w:rPr>
          <w:rStyle w:val="VerbatimChar"/>
        </w:rPr>
        <w:t>framework</w:t>
      </w:r>
      <w:r>
        <w:rPr/>
        <w:t>, seguida da ambiental com 81, da econômica com 56 e da social com 54. A dimensão ciclo de vida, identificada em 65 registros, não forma grupo independente: ela funciona como eixo transversal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Matriz de coocorrência entre dimensões de sustentabilidade e instrumentos de apoio à decisão</w:t>
      </w:r>
    </w:p>
    <w:p>
      <w:pPr>
        <w:pStyle w:val="BodyText"/>
        <w:rPr/>
      </w:pPr>
      <w:r>
        <w:rPr/>
        <w:t>A matriz distingue evidência extraída de especificação proposta. Energia, emissões, água e resíduos foram associados à dimensão ambiental; custo, à econômica; segurança, conforto e satisfação, à social; e desempenho, informação, vida útil, risco, condição, manutenibilidade e qualidade do serviço, à técnica-operacional. A dimensão institucional foi identificada em 97 registros, mas conformidade, governança e capacidade de execução são desdobramentos candidatos, sem frequências individualizadas. As frequências documentais sustentam a seleção inicial dos critérios, mas não constituem pesos nem definem sua importância normativa.</w:t>
      </w:r>
    </w:p>
    <w:p>
      <w:pPr>
        <w:pStyle w:val="BodyText"/>
        <w:rPr/>
      </w:pPr>
      <w:r>
        <w:rPr/>
        <w:t>A Tabela </w:t>
      </w:r>
      <w:hyperlink w:anchor="tab%3Aprotocolooperacional">
        <w:r>
          <w:rPr>
            <w:rStyle w:val="Hyperlink"/>
          </w:rPr>
          <w:t>11</w:t>
        </w:r>
      </w:hyperlink>
      <w:r>
        <w:rPr/>
        <w:t xml:space="preserve"> explicita a rastreabilidade entre os critérios candidatos e as evidências da revisão. A Tabela </w:t>
      </w:r>
      <w:hyperlink w:anchor="tab%3Aespecificacaoindicadores">
        <w:r>
          <w:rPr>
            <w:rStyle w:val="Hyperlink"/>
          </w:rPr>
          <w:t>12</w:t>
        </w:r>
      </w:hyperlink>
      <w:r>
        <w:rPr/>
        <w:t xml:space="preserve"> apresenta, separadamente, uma proposição autoral de indicadores, fontes, periodicidades e direções de preferência para futura validação. Essa separação evita atribuir à literatura parametrizações operacionais que não foram extraídas diretamente dos estudos.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4680"/>
        <w:gridCol w:w="4679"/>
      </w:tblGrid>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 e critério</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desempenho e falha</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gestão de facilidades conectada a operação e manutenção na rede.</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informação e dados</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observadas por Tan, Zaman, and Sutrisna (2018).</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 condição e vida útil</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vida útil em 44 e ciclo de vida em 65; manutenibilidade apoiada por Othman and Kamal (2023).</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 conformidade</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adaptação contextual necessária em Talib, Rajagopalan, and Yang (2013).</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 custo</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em Kim et al. (2018; Nägeli et al. 2019).</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energia</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e energia em 44 registros; crescimento de ciclo de vida e carbono no período recente.</w:t>
            </w:r>
          </w:p>
        </w:tc>
      </w:tr>
      <w:tr>
        <w:trPr/>
        <w:tc>
          <w:tcPr>
            <w:tcW w:w="468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impacto nos usuários</w:t>
            </w:r>
          </w:p>
        </w:tc>
        <w:tc>
          <w:tcPr>
            <w:tcW w:w="467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conforto em 22, segurança em 18 e satisfação em nove registros.</w:t>
            </w:r>
          </w:p>
        </w:tc>
      </w:tr>
    </w:tbl>
    <w:p>
      <w:pPr>
        <w:pStyle w:val="Normal"/>
        <w:rPr/>
      </w:pPr>
      <w:r>
        <w:rPr/>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 preferência</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 menor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 maior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 maior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 maior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 menor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 menor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 menor</w:t>
            </w:r>
          </w:p>
        </w:tc>
      </w:tr>
    </w:tbl>
    <w:p>
      <w:pPr>
        <w:pStyle w:val="Normal"/>
        <w:rPr/>
      </w:pPr>
      <w:r>
        <w:rPr/>
      </w:r>
    </w:p>
    <w:p>
      <w:pPr>
        <w:pStyle w:val="BodyText"/>
        <w:rPr/>
      </w:pPr>
      <w:r>
        <w:rPr/>
        <w:t>O fluxo de validação e futura parametrização está resumido na Figura </w:t>
      </w:r>
      <w:hyperlink w:anchor="fig%3Afluxoprotocolo">
        <w:r>
          <w:rPr>
            <w:rStyle w:val="Hyperlink"/>
          </w:rPr>
          <w:t>11</w:t>
        </w:r>
      </w:hyperlink>
      <w:r>
        <w:rPr/>
        <w:t>. A unidade de comparação deve ser definida antes da coleta; critérios e indicadores são validados antes da elicitação dos pesos; e qualquer prioridade somente deve ser divulgada após análise de sensibilidade e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A etapa 4 permanece deliberadamente sem método, pesos ou função de agregação definidos. As aplicações descritas na Seção </w:t>
      </w:r>
      <w:hyperlink w:anchor="sec%3Ametodos">
        <w:r>
          <w:rPr>
            <w:rStyle w:val="Hyperlink"/>
          </w:rPr>
          <w:t>7</w:t>
        </w:r>
      </w:hyperlink>
      <w:r>
        <w:rPr/>
        <w:t xml:space="preserve"> mostram que Delphi, AHP, TOPSIS, ANP e outros procedimentos podem cumprir funções diferentes; a escolha depende do problema decisório, da participação institucional, da qualidade dos dados e do grau de compensação admissível. A análise de sensibilidade deve variar pesos, limiares e tratamento de dados ausentes. Risco estrutural, risco à vida, incêndio e descumprimento legal são propostos como vetos não compensatórios, cujos limiares devem ser definidos por norma, laudo ou autoridade competente (Associação Brasileira de Normas Técnicas 2012; Araújo Neto 2015). O ciclo de vida permanece transversal para evitar dupla contagem.</w:t>
      </w:r>
    </w:p>
    <w:p>
      <w:pPr>
        <w:pStyle w:val="BodyText"/>
        <w:rPr/>
      </w:pPr>
      <w:bookmarkStart w:id="22" w:name="sec%3Amatriz"/>
      <w:r>
        <w:rPr/>
        <w:t>Em nível de especificação, a matriz responde à RQ0 ao converter dimensões e critérios recorrentes em indicadores candidatos e em etapas verificáveis de validação. Ela não constitui método multicritério parametrizado, modelo validado ou instrumento pronto para decisão. Indicadores, normalização, pesos, função de agregação, limiares e vetos precisam ser validados com participação institucional e dados reais.</w:t>
      </w:r>
      <w:bookmarkEnd w:id="22"/>
    </w:p>
    <w:p>
      <w:pPr>
        <w:pStyle w:val="Heading1"/>
        <w:rPr/>
      </w:pPr>
      <w:bookmarkStart w:id="23" w:name="sec%3Adiscussao"/>
      <w:r>
        <w:rPr/>
        <w:t>Discussão</w:t>
      </w:r>
    </w:p>
    <w:p>
      <w:pPr>
        <w:pStyle w:val="Heading2"/>
        <w:rPr/>
      </w:pPr>
      <w:bookmarkStart w:id="24" w:name="maturidade-e-transição-do-campo"/>
      <w:r>
        <w:rPr/>
        <w:t>Maturidade e transição do campo</w:t>
      </w:r>
    </w:p>
    <w:p>
      <w:pPr>
        <w:pStyle w:val="FirstParagraph"/>
        <w:rPr/>
      </w:pPr>
      <w:r>
        <w:rPr/>
        <w:t xml:space="preserve">A literatura converge para uma manutenção entendida como gestão de ativos e facilidades, combinando desempenho, governança, ambiente, ciclo de vida, custos e usuários (Nielsen, Sarasoja, and Galamba 2016; Opoku and Lee 2022; Okoro 2023). A concentração de 83,5% do núcleo temático entre 2019 e 2026 e o crescimento relativo de BIM, </w:t>
      </w:r>
      <w:r>
        <w:rPr>
          <w:i/>
          <w:iCs/>
        </w:rPr>
        <w:t>digital twin</w:t>
      </w:r>
      <w:r>
        <w:rPr/>
        <w:t>, carbono e avaliação do ciclo de vida indicam mudança de vocabulário, não causalidade ou substituição dos temas tradicionais. A rede conecta BIM a gestão de facilidades, manutenção preditiva, operação e desempenho; as leituras integrais mostram que essa conexão abrange integração de dados, previsão, simulação e estruturação decisória parcial (Deng, Menassa, and Kamat 2021; Espinosa Gispert et al. 2025; Goretti and Kaming 2023; Das 2025). O campo avança em capacidade informacional, mas permanece heterogêneo em interoperabilidade, validação e integração institucional (Deng, Menassa, and Kamat 2021; Das 2025; Alici 2026).</w:t>
      </w:r>
    </w:p>
    <w:p>
      <w:pPr>
        <w:pStyle w:val="BodyText"/>
        <w:rPr/>
      </w:pPr>
      <w:r>
        <w:rPr/>
        <w:t>A RQ6 qualifica esse diagnóstico sem redefinir o objeto principal da revisão. Como detalhado nas Seções </w:t>
      </w:r>
      <w:hyperlink w:anchor="sec%3Abuscaia">
        <w:r>
          <w:rPr>
            <w:rStyle w:val="Hyperlink"/>
          </w:rPr>
          <w:t>3.4</w:t>
        </w:r>
      </w:hyperlink>
      <w:r>
        <w:rPr/>
        <w:t xml:space="preserve"> e </w:t>
      </w:r>
      <w:hyperlink w:anchor="sec%3Ametodos">
        <w:r>
          <w:rPr>
            <w:rStyle w:val="Hyperlink"/>
          </w:rPr>
          <w:t>7</w:t>
        </w:r>
      </w:hyperlink>
      <w:r>
        <w:rPr/>
        <w:t xml:space="preserve">, manutenção preditiva, BIM, </w:t>
      </w:r>
      <w:r>
        <w:rPr>
          <w:i/>
          <w:iCs/>
        </w:rPr>
        <w:t>digital twin</w:t>
      </w:r>
      <w:r>
        <w:rPr/>
        <w:t xml:space="preserve"> e IoT não foram tratados como prova automática de IA. A busca de sensibilidade ampliou a recuperação de modelos preditivos e diagnósticos, mas nenhum dos 17 registros incorporados documentou a cadeia completa entre validação externa, preferência institucional, ponderação, veto e decisão pública. Assim, acurácia preditiva e legitimidade decisória pertencem a níveis distintos (Das 2025; Alfalah et al. 2022).</w:t>
      </w:r>
      <w:bookmarkEnd w:id="24"/>
    </w:p>
    <w:p>
      <w:pPr>
        <w:pStyle w:val="Heading2"/>
        <w:rPr/>
      </w:pPr>
      <w:bookmarkStart w:id="25" w:name="lacuna-entre-estrutura-e-decisão"/>
      <w:r>
        <w:rPr/>
        <w:t>Lacuna entre estrutura e decisão</w:t>
      </w:r>
    </w:p>
    <w:p>
      <w:pPr>
        <w:pStyle w:val="FirstParagraph"/>
        <w:rPr/>
      </w:pPr>
      <w:r>
        <w:rPr/>
        <w:t xml:space="preserve">A presença de </w:t>
      </w:r>
      <w:r>
        <w:rPr>
          <w:rStyle w:val="VerbatimChar"/>
        </w:rPr>
        <w:t>framework</w:t>
      </w:r>
      <w:r>
        <w:rPr/>
        <w:t xml:space="preserve"> em quase todo o núcleo contrasta com a menor frequência de métodos multicritério nomeados. Propor uma estrutura ou mencionar apoio à decisão não equivale a definir indicadores, normalizar, ponderar, agregar, testar sensibilidade e validar. As aplicações mais completas do núcleo, apresentadas na Seção </w:t>
      </w:r>
      <w:hyperlink w:anchor="sec%3Ametodos">
        <w:r>
          <w:rPr>
            <w:rStyle w:val="Hyperlink"/>
          </w:rPr>
          <w:t>7</w:t>
        </w:r>
      </w:hyperlink>
      <w:r>
        <w:rPr/>
        <w:t>, demonstram funções específicas de ANP, Delphi, AHP, TOPSIS e otimização, mas não fornecem um modelo diretamente transferível à gestão universitária pública. A lacuna central não é a ausência de critérios; é a falta de uma cadeia documentada entre evidência, variável mensurável, preferência institucional e decisão validada, padrão compatível com a fragmentação observada entre integração informacional e estruturação decisória (Deng, Menassa, and Kamat 2021; Das 2025).</w:t>
      </w:r>
      <w:bookmarkEnd w:id="25"/>
    </w:p>
    <w:p>
      <w:pPr>
        <w:pStyle w:val="Heading2"/>
        <w:rPr/>
      </w:pPr>
      <w:bookmarkStart w:id="26" w:name="especificidade-pública-universitária"/>
      <w:r>
        <w:rPr/>
        <w:t>Especificidade pública universitária</w:t>
      </w:r>
    </w:p>
    <w:p>
      <w:pPr>
        <w:pStyle w:val="FirstParagraph"/>
        <w:rPr/>
      </w:pPr>
      <w:r>
        <w:rPr/>
        <w:t xml:space="preserve">Universidades, </w:t>
      </w:r>
      <w:r>
        <w:rPr>
          <w:i/>
          <w:iCs/>
        </w:rPr>
        <w:t>campus</w:t>
      </w:r>
      <w:r>
        <w:rPr/>
        <w:t xml:space="preserve"> e edifícios públicos representam parcelas menores que edificações genéricas e portfólios. Estudos realizados em universidades e instituições de ensino africanas indicam que diversidade de usuários, continuidade acadêmica, orçamento, resiliência e governança precisam ser considerados juntamente com a condição física (Awuzie and Isa 2017; Ndukuba 2025). A transferência desses achados ao contexto brasileiro exige validação institucional, como também sugerem estudos sobre adaptação de instrumentos e integração de dados em outros contextos públicos (Talib, Rajagopalan, and Yang 2013; Tan, Zaman, and Sutrisna 2018). Ordens de serviço e séries de custos apoiam diagnóstico e previsão, desde que possuam cadastro consistente e vínculo com ativos e intervenções (Martins and Espejo 2024; Morais, Paula, and Reis 2023).</w:t>
      </w:r>
    </w:p>
    <w:p>
      <w:pPr>
        <w:pStyle w:val="BodyText"/>
        <w:rPr/>
      </w:pPr>
      <w:bookmarkStart w:id="27" w:name="especificidade-pública-universitária"/>
      <w:r>
        <w:rPr/>
        <w:t>A baixa presença lexical de ODS e ESG, apesar da recorrência de energia, emissões, segurança, conforto e governança, indica no corpus uma aproximação substantiva ainda pouco expressa por esses rótulos. Essa interpretação é compatível com o caráter emergente da incorporação explícita de ESG à gestão de facilidades (Ramantswana et al. 2026).</w:t>
      </w:r>
      <w:bookmarkEnd w:id="27"/>
    </w:p>
    <w:p>
      <w:pPr>
        <w:pStyle w:val="Heading2"/>
        <w:rPr/>
      </w:pPr>
      <w:bookmarkStart w:id="28" w:name="contribuição-e-limites-da-especificação"/>
      <w:r>
        <w:rPr/>
        <w:t>Contribuição e limites da especificação</w:t>
      </w:r>
    </w:p>
    <w:p>
      <w:pPr>
        <w:pStyle w:val="FirstParagraph"/>
        <w:rPr/>
      </w:pPr>
      <w:r>
        <w:rPr/>
        <w:t>A contribuição proposta liga critérios sustentados pela revisão a indicadores candidatos e a um fluxo de validação. A rastreabilidade explica por que desempenho, informação, condição, conformidade, custo, energia e usuários foram selecionados; a parametrização operacional da Tabela </w:t>
      </w:r>
      <w:hyperlink w:anchor="tab%3Aespecificacaoindicadores">
        <w:r>
          <w:rPr>
            <w:rStyle w:val="Hyperlink"/>
          </w:rPr>
          <w:t>12</w:t>
        </w:r>
      </w:hyperlink>
      <w:r>
        <w:rPr/>
        <w:t>, porém, é proposição do autor e não resultado extraído diretamente da literatura. O fluxo separa validação de conteúdo, qualidade dos dados, normalização, ponderação, agregação, vetos e sensibilidade. Vetos candidatos impedem que risco à vida ou ilegalidade sejam compensados por vantagens econômicas ou ambientais, em coerência com requisitos normativos e responsabilidades administrativas da manutenção predial (Associação Brasileira de Normas Técnicas 2012; Araújo Neto 2015).</w:t>
      </w:r>
    </w:p>
    <w:p>
      <w:pPr>
        <w:pStyle w:val="BodyText"/>
        <w:rPr/>
      </w:pPr>
      <w:bookmarkStart w:id="29" w:name="sec%3Adiscussao"/>
      <w:bookmarkStart w:id="30" w:name="contribuição-e-limites-da-especificação"/>
      <w:r>
        <w:rPr/>
        <w:t>A especificação permanece propositiva. Coocorrências não estimam causalidade, importância ou peso; categorias amplas podem reunir estudos diferentes; e desenhos conceituais, revisões, estudos de caso e modelos quantitativos não oferecem força de evidência equivalente. Sem avaliação metodológica integral dos 121 registros e sem teste institucional, não se recomenda superioridade de método, critério ou tecnologia. O produto é uma base auditável para parametrização e validação futuras, não um protocolo multicritério pronto.</w:t>
      </w:r>
      <w:bookmarkEnd w:id="29"/>
      <w:bookmarkEnd w:id="30"/>
    </w:p>
    <w:p>
      <w:pPr>
        <w:pStyle w:val="Heading1"/>
        <w:rPr/>
      </w:pPr>
      <w:bookmarkStart w:id="31" w:name="sec%3Alimitacoes"/>
      <w:r>
        <w:rPr/>
        <w:t>Limitações</w:t>
      </w:r>
    </w:p>
    <w:p>
      <w:pPr>
        <w:pStyle w:val="FirstParagraph"/>
        <w:rPr/>
      </w:pPr>
      <w:r>
        <w:rPr>
          <w:b/>
          <w:bCs/>
        </w:rPr>
        <w:t>Cobertura e seleção.</w:t>
      </w:r>
      <w:r>
        <w:rPr/>
        <w:t xml:space="preserve"> O ano de 2026 é parcial e os índices podem mudar. Não houve pré-registro, busca de citações para frente ou para trás nem busca estruturada de literatura cinzenta; a cobertura depende das três fontes e dos metadados disponíveis. Triagem e codificação foram conduzidas por um único avaliador, sem revisão independente ou concordância interavaliadores. Além disso, presença lexical não equivale a variável mensurada, critério aplicado ou resultado empírico, e ODS, SDG ou ESG podem estar ausentes mesmo quando seus componentes aparecem.</w:t>
      </w:r>
    </w:p>
    <w:p>
      <w:pPr>
        <w:pStyle w:val="BodyText"/>
        <w:rPr/>
      </w:pPr>
      <w:r>
        <w:rPr>
          <w:b/>
          <w:bCs/>
        </w:rPr>
        <w:t>Extração e força de evidência.</w:t>
      </w:r>
      <w:r>
        <w:rPr/>
        <w:t xml:space="preserve"> O núcleo temático vigente de 121 registros não foi submetido integralmente a elegibilidade e extração em texto completo. As leituras posteriores foram pontuais: 37 textos foram consultados e 19 acrescentaram evidências específicas; no lote de sensibilidade, sete dos 17 foram lidos integralmente. A unidade quantitativa é o registro bibliográfico consolidado, que não garante independência entre publicações relacionadas nem representa força de evidência acumulada. Como 23,1% dos registros não apresentaram sinal suficiente para classificar o desenho e não foi aplicado instrumento de risco de viés, não se pode comparar qualidade metodológica nem recomendar superioridade. A ausência de afiliações e referências citadas e a baixa completude de autores também impediram rede de colaboração e acoplamento bibliográfico.</w:t>
      </w:r>
    </w:p>
    <w:p>
      <w:pPr>
        <w:pStyle w:val="BodyText"/>
        <w:rPr/>
      </w:pPr>
      <w:r>
        <w:rPr>
          <w:b/>
          <w:bCs/>
        </w:rPr>
        <w:t>Busca de sensibilidade para IA.</w:t>
      </w:r>
      <w:r>
        <w:rPr/>
        <w:t xml:space="preserve"> Os 4.889 registros foram classificados por correspondência de termos ao dicionário RQ6; os 20 candidatos ao núcleo tiveram título e resumo revisados individualmente, conforme o funil apresentado na Seção </w:t>
      </w:r>
      <w:hyperlink w:anchor="sec%3Abuscaia">
        <w:r>
          <w:rPr>
            <w:rStyle w:val="Hyperlink"/>
          </w:rPr>
          <w:t>3.4</w:t>
        </w:r>
      </w:hyperlink>
      <w:r>
        <w:rPr/>
        <w:t>. No Crossref, 24,9% possuíam resumo, ante 100% na Scopus e na Web of Science, e nenhum registro incorporado teve origem exclusiva nessa fonte. A rodada permaneceu restrita às mesmas três fontes, sem literatura cinzenta ou base especializada em ciência da computação. Na Web of Science, a busca foi executada em All Databases, embora os registros exportados apresentem indexação na Web of Science Core Collection. As strings, os campos, a data, o período e a ausência de filtros adicionais foram documentados retrospectivamente a partir do registro fornecido pelo pesquisador; não há captura de tela ou histórico contemporâneo da interface anexado ao repositório. Por ter sido deliberadamente enriquecido com termos de inteligência artificial e aprendizado de máquina, o aumento de nove para 26 registros mede o efeito da sensibilidade e não deve ser interpretado como prevalência dessas técnicas no campo.</w:t>
      </w:r>
    </w:p>
    <w:p>
      <w:pPr>
        <w:pStyle w:val="BodyText"/>
        <w:rPr/>
      </w:pPr>
      <w:r>
        <w:rPr>
          <w:b/>
          <w:bCs/>
        </w:rPr>
        <w:t>Especificação para parametrização multicritério.</w:t>
      </w:r>
      <w:r>
        <w:rPr/>
        <w:t xml:space="preserve"> A revisão sustenta a seleção inicial dos critérios e a necessidade de rastreabilidade, mas não valida os indicadores, unidades, fontes, periodicidades e direções propostos pelo autor. Normalização, pesos, função de agregação, limiares, vetos e análise de sensibilidade dependem de validação de conteúdo, participação institucional, dados reais e teste de robustez. Portanto, o produto não constitui método multicritério parametrizado nem instrumento pronto para orientar investimentos.</w:t>
      </w:r>
      <w:bookmarkEnd w:id="31"/>
    </w:p>
    <w:p>
      <w:pPr>
        <w:pStyle w:val="Heading1"/>
        <w:rPr/>
      </w:pPr>
      <w:bookmarkStart w:id="32" w:name="sec%3Aconsideracoes"/>
      <w:r>
        <w:rPr/>
        <w:t>Considerações finais</w:t>
      </w:r>
    </w:p>
    <w:p>
      <w:pPr>
        <w:pStyle w:val="FirstParagraph"/>
        <w:rPr/>
      </w:pPr>
      <w:r>
        <w:rPr/>
        <w:t xml:space="preserve">A pergunta central foi respondida pela integração de duas camadas parcialmente sobrepostas. O mapeamento bibliométrico identificou transição de eficiência, desempenho e edificações verdes para BIM, </w:t>
      </w:r>
      <w:r>
        <w:rPr>
          <w:i/>
          <w:iCs/>
        </w:rPr>
        <w:t>digital twins</w:t>
      </w:r>
      <w:r>
        <w:rPr/>
        <w:t>, carbono, ciclo de vida e manutenção preditiva. A síntese temática mostrou que dimensões técnica-operacional, institucional e ambiental e critérios de desempenho, informação, custo, vida útil, energia e risco formam o núcleo documental. Dos 121 registros temáticos, 109 também pertencem ao estrato bibliométrico de 372. Essa integração fundamentou uma matriz de critérios e indicadores e um fluxo de validação para futura parametrização multicritério.</w:t>
      </w:r>
    </w:p>
    <w:p>
      <w:pPr>
        <w:pStyle w:val="BodyText"/>
        <w:rPr/>
      </w:pPr>
      <w:r>
        <w:rPr/>
        <w:t>Foram identificadas seis dimensões, 15 critérios e abordagens decisórias heterogêneas. Estruturas genéricas, BIM e apoio à decisão foram mais frequentes que métodos multicritério nomeados. A busca de sensibilidade elevou a identificação de aprendizado de máquina de nove para 26 registros, mas esse aumento decorre do desenho da rodada complementar. Entre os 17 registros incorporados, dez têm como função predominante previsão ou previsão com otimização, dois diagnóstico e classificação e cinco síntese ou integração tecnológica; nenhum demonstrou a cadeia completa entre modelo treinado, validação externa, ponderação multicritério, vetos e decisão pública auditável.</w:t>
      </w:r>
    </w:p>
    <w:p>
      <w:pPr>
        <w:pStyle w:val="BodyText"/>
        <w:rPr/>
      </w:pPr>
      <w:r>
        <w:rPr/>
        <w:t xml:space="preserve">Edificações genéricas e portfólios predominaram, enquanto universidades, </w:t>
      </w:r>
      <w:r>
        <w:rPr>
          <w:i/>
          <w:iCs/>
        </w:rPr>
        <w:t>campus</w:t>
      </w:r>
      <w:r>
        <w:rPr/>
        <w:t xml:space="preserve"> e edifícios públicos foram menos frequentes. Em resposta à RQ5, 12 registros foram codificados com lacunas específicas para instituições públicas de ensino superior, resultado apresentado e definido na Seção </w:t>
      </w:r>
      <w:hyperlink w:anchor="sec%3Aaplicabilidade">
        <w:r>
          <w:rPr>
            <w:rStyle w:val="Hyperlink"/>
          </w:rPr>
          <w:t>8</w:t>
        </w:r>
      </w:hyperlink>
      <w:r>
        <w:rPr/>
        <w:t>. ODS apareceu em um registro e ESG não apareceu nos campos auditados, embora componentes substantivos fossem recorrentes (Masmoudi et al. 2026; Ramantswana et al. 2026).</w:t>
      </w:r>
    </w:p>
    <w:p>
      <w:pPr>
        <w:pStyle w:val="BodyText"/>
        <w:rPr/>
      </w:pPr>
      <w:r>
        <w:rPr/>
        <w:t>A contribuição central é uma especificação operacional candidata e rastreável. A revisão sustenta a seleção inicial dos critérios; indicadores, unidades, fontes, periodicidades e direções são proposições do autor para validação. Pesos, função de agregação, limiares e vetos não foram parametrizados. Assim, o produto não resolve a escassez de recursos nem gera, no estado atual, uma classificação autorizada de investimentos; ele organiza as etapas e os registros necessários para que uma futura decisão multicritério seja testada e auditada.</w:t>
      </w:r>
    </w:p>
    <w:p>
      <w:pPr>
        <w:pStyle w:val="BodyText"/>
        <w:rPr/>
      </w:pPr>
      <w:r>
        <w:rPr/>
        <w:t>Como proposição do autor, a validação futura pode ser organizada em quatro etapas sequenciais, sem que os intervalos de duração sejam definidos antes do diagnóstico institucional:</w:t>
      </w:r>
    </w:p>
    <w:p>
      <w:pPr>
        <w:pStyle w:val="Normal"/>
        <w:numPr>
          <w:ilvl w:val="0"/>
          <w:numId w:val="3"/>
        </w:numPr>
        <w:rPr/>
      </w:pPr>
      <w:r>
        <w:rPr>
          <w:b/>
          <w:bCs/>
        </w:rPr>
        <w:t>Validação de conteúdo:</w:t>
      </w:r>
      <w:r>
        <w:rPr/>
        <w:t xml:space="preserve"> painel de manutenção, engenharia, sustentabilidade, planejamento, orçamento e usuários revisa dimensões, indicadores e vetos antes dos pesos.</w:t>
      </w:r>
    </w:p>
    <w:p>
      <w:pPr>
        <w:pStyle w:val="Normal"/>
        <w:numPr>
          <w:ilvl w:val="0"/>
          <w:numId w:val="1"/>
        </w:numPr>
        <w:rPr/>
      </w:pPr>
      <w:r>
        <w:rPr>
          <w:b/>
          <w:bCs/>
        </w:rPr>
        <w:t>Integração de dados:</w:t>
      </w:r>
      <w:r>
        <w:rPr/>
        <w:t xml:space="preserve"> ordens de serviço, inspeções, custos, consumo, riscos e reclamações recebem dicionário, periodicidade e responsáveis.</w:t>
      </w:r>
    </w:p>
    <w:p>
      <w:pPr>
        <w:pStyle w:val="Normal"/>
        <w:numPr>
          <w:ilvl w:val="0"/>
          <w:numId w:val="1"/>
        </w:numPr>
        <w:rPr/>
      </w:pPr>
      <w:r>
        <w:rPr>
          <w:b/>
          <w:bCs/>
        </w:rPr>
        <w:t>Parametrização e protótipo:</w:t>
      </w:r>
      <w:r>
        <w:rPr/>
        <w:t xml:space="preserve"> são definidos método de elicitação, normalização, pesos, função de agregação, limiares, casos retrospectivos e análise de sensibilidade.</w:t>
      </w:r>
    </w:p>
    <w:p>
      <w:pPr>
        <w:pStyle w:val="Normal"/>
        <w:numPr>
          <w:ilvl w:val="0"/>
          <w:numId w:val="1"/>
        </w:numPr>
        <w:rPr/>
      </w:pPr>
      <w:r>
        <w:rPr>
          <w:b/>
          <w:bCs/>
        </w:rPr>
        <w:t>Validação multicampi:</w:t>
      </w:r>
      <w:r>
        <w:rPr/>
        <w:t xml:space="preserve"> são comparadas estabilidade, utilidade decisória e possibilidade de transferência entre unidades e outros portfólios públicos.</w:t>
      </w:r>
    </w:p>
    <w:p>
      <w:pPr>
        <w:pStyle w:val="FirstParagraph"/>
        <w:rPr/>
      </w:pPr>
      <w:r>
        <w:rPr/>
        <w:t>Até a validação empírica e institucional, a contribuição permanece uma base reproduzível para parametrização e teste, não um protocolo multicritério pronto para orientar investimentos.</w:t>
      </w:r>
    </w:p>
    <w:p>
      <w:pPr>
        <w:pStyle w:val="Heading1"/>
        <w:rPr/>
      </w:pPr>
      <w:bookmarkStart w:id="33" w:name="refs"/>
      <w:bookmarkStart w:id="34" w:name="ref-aldairi_lean6sbm_2017"/>
      <w:r>
        <w:rPr/>
        <w:t>Referências</w:t>
      </w:r>
    </w:p>
    <w:p>
      <w:pPr>
        <w:pStyle w:val="Bibliography"/>
        <w:rPr/>
      </w:pPr>
      <w:r>
        <w:rPr/>
        <w:t xml:space="preserve">Aldairi, Jasim, M. K. Khan, and J. Eduardo Munive-Hernandez. 2017. “Knowledge-Based Lean Six Sigma Maintenance System for Sustainable Buildings.” </w:t>
      </w:r>
      <w:r>
        <w:rPr>
          <w:i/>
          <w:iCs/>
        </w:rPr>
        <w:t>International Journal of Lean Six Sigma</w:t>
      </w:r>
      <w:r>
        <w:rPr/>
        <w:t xml:space="preserve"> 8 (1): 109–30. </w:t>
      </w:r>
      <w:hyperlink r:id="rId13">
        <w:r>
          <w:rPr>
            <w:rStyle w:val="Hyperlink"/>
          </w:rPr>
          <w:t>https://doi.org/10.1108/IJLSS-09-2015-0035</w:t>
        </w:r>
      </w:hyperlink>
      <w:r>
        <w:rPr/>
        <w:t>.</w:t>
      </w:r>
      <w:bookmarkEnd w:id="34"/>
    </w:p>
    <w:p>
      <w:pPr>
        <w:pStyle w:val="Bibliography"/>
        <w:rPr/>
      </w:pPr>
      <w:bookmarkStart w:id="35" w:name="ref-alfalah_frameworkeducacional_2022"/>
      <w:r>
        <w:rPr/>
        <w:t xml:space="preserve">Alfalah, Ghasan, Abobakr Al-Sakkaf, Eslam Mohammed Abdelkader, and Tarek Zayed. 2022. “An Integrated Fuzzy-Based Sustainability Framework for Post-Secondary Educational Buildings: A User-Perspective Approach.” </w:t>
      </w:r>
      <w:r>
        <w:rPr>
          <w:i/>
          <w:iCs/>
        </w:rPr>
        <w:t>Sustainability</w:t>
      </w:r>
      <w:r>
        <w:rPr/>
        <w:t xml:space="preserve"> 14 (16): 9955. </w:t>
      </w:r>
      <w:hyperlink r:id="rId14">
        <w:r>
          <w:rPr>
            <w:rStyle w:val="Hyperlink"/>
          </w:rPr>
          <w:t>https://doi.org/10.3390/su14169955</w:t>
        </w:r>
      </w:hyperlink>
      <w:r>
        <w:rPr/>
        <w:t>.</w:t>
      </w:r>
      <w:bookmarkEnd w:id="35"/>
    </w:p>
    <w:p>
      <w:pPr>
        <w:pStyle w:val="Bibliography"/>
        <w:rPr/>
      </w:pPr>
      <w:bookmarkStart w:id="36" w:name="ref-alici_iotambientes_2026"/>
      <w:r>
        <w:rPr/>
        <w:t xml:space="preserve">Alici, Nedim. 2026. “IoT-Enabled Indoor Environments in Smart Cities: A Systematic Review on Energy Efficiency, User Comfort, and Environmental Sustainability.” </w:t>
      </w:r>
      <w:r>
        <w:rPr>
          <w:i/>
          <w:iCs/>
        </w:rPr>
        <w:t>Frontiers in Sustainability</w:t>
      </w:r>
      <w:r>
        <w:rPr/>
        <w:t xml:space="preserve"> 7: 1751337. </w:t>
      </w:r>
      <w:hyperlink r:id="rId15">
        <w:r>
          <w:rPr>
            <w:rStyle w:val="Hyperlink"/>
          </w:rPr>
          <w:t>https://doi.org/10.3389/frsus.2026.1751337</w:t>
        </w:r>
      </w:hyperlink>
      <w:r>
        <w:rPr/>
        <w:t>.</w:t>
      </w:r>
      <w:bookmarkEnd w:id="36"/>
    </w:p>
    <w:p>
      <w:pPr>
        <w:pStyle w:val="Bibliography"/>
        <w:rPr/>
      </w:pPr>
      <w:bookmarkStart w:id="37" w:name="ref-aliu_barreirasdt_2025"/>
      <w:r>
        <w:rPr/>
        <w:t xml:space="preserve">Aliu, Abdulmalik Adozuka, Nor Rima Muhamad Ariff, Sheikh Ali Azzran Sh Said, Divine Senanu Ametefe, and Dah John. 2025. “Barriers to Digital Transformation in Facilities Management: Insights from a Developing Country.” </w:t>
      </w:r>
      <w:r>
        <w:rPr>
          <w:i/>
          <w:iCs/>
        </w:rPr>
        <w:t>Journal of Construction in Developing Countries</w:t>
      </w:r>
      <w:r>
        <w:rPr/>
        <w:t xml:space="preserve"> 30 (2): 137–68. </w:t>
      </w:r>
      <w:hyperlink r:id="rId16">
        <w:r>
          <w:rPr>
            <w:rStyle w:val="Hyperlink"/>
          </w:rPr>
          <w:t>https://doi.org/10.21315/jcdc.2025.30.2.6</w:t>
        </w:r>
      </w:hyperlink>
      <w:r>
        <w:rPr/>
        <w:t>.</w:t>
      </w:r>
      <w:bookmarkEnd w:id="37"/>
    </w:p>
    <w:p>
      <w:pPr>
        <w:pStyle w:val="Bibliography"/>
        <w:rPr/>
      </w:pPr>
      <w:bookmarkStart w:id="38" w:name="ref-araujoneto_manutencaolegislacao_2015"/>
      <w:r>
        <w:rPr/>
        <w:t xml:space="preserve">Araújo Neto, Paschoal Gavazza de. 2015. “A Manutenção Predial Nas Edificações Públicas, Um Estudo Sobre a Legislação.” </w:t>
      </w:r>
      <w:r>
        <w:rPr>
          <w:i/>
          <w:iCs/>
        </w:rPr>
        <w:t>E&amp;S Engineering and Science</w:t>
      </w:r>
      <w:r>
        <w:rPr/>
        <w:t xml:space="preserve"> 3 (1): 85–93. </w:t>
      </w:r>
      <w:hyperlink r:id="rId17">
        <w:r>
          <w:rPr>
            <w:rStyle w:val="Hyperlink"/>
          </w:rPr>
          <w:t>https://doi.org/10.18607/ES201532557</w:t>
        </w:r>
      </w:hyperlink>
      <w:r>
        <w:rPr/>
        <w:t>.</w:t>
      </w:r>
      <w:bookmarkEnd w:id="38"/>
    </w:p>
    <w:p>
      <w:pPr>
        <w:pStyle w:val="Bibliography"/>
        <w:rPr/>
      </w:pPr>
      <w:bookmarkStart w:id="39" w:name="ref-abnt_nbr5674_2012"/>
      <w:r>
        <w:rPr/>
        <w:t>Associação Brasileira de Normas Técnicas. 2012. “NBR 5674: Manutenção de Edificações, Requisitos Para o Sistema de Gestão de Manutenção.” Rio de Janeiro: ABNT.</w:t>
      </w:r>
      <w:bookmarkEnd w:id="39"/>
    </w:p>
    <w:p>
      <w:pPr>
        <w:pStyle w:val="Bibliography"/>
        <w:rPr/>
      </w:pPr>
      <w:bookmarkStart w:id="40" w:name="ref-awuzie_fmuniversidades_2017"/>
      <w:r>
        <w:rPr/>
        <w:t xml:space="preserve">Awuzie, Bankole Osita, and Rasheed Isa. 2017. “Stakeholders’ Perception of Critical Success Factors for Sustainable Facilities Management Practice in Universities in Sub-Saharan Africa.” </w:t>
      </w:r>
      <w:r>
        <w:rPr>
          <w:i/>
          <w:iCs/>
        </w:rPr>
        <w:t>Acta Structilia</w:t>
      </w:r>
      <w:r>
        <w:rPr/>
        <w:t xml:space="preserve"> 24 (2): 106–27. </w:t>
      </w:r>
      <w:hyperlink r:id="rId18">
        <w:r>
          <w:rPr>
            <w:rStyle w:val="Hyperlink"/>
          </w:rPr>
          <w:t>https://doi.org/10.18820/24150487/as24i2.4</w:t>
        </w:r>
      </w:hyperlink>
      <w:r>
        <w:rPr/>
        <w:t>.</w:t>
      </w:r>
      <w:bookmarkEnd w:id="40"/>
    </w:p>
    <w:p>
      <w:pPr>
        <w:pStyle w:val="Bibliography"/>
        <w:rPr/>
      </w:pPr>
      <w:bookmarkStart w:id="41" w:name="X8197757cb75e327dcc86b36afee00a28411c12b"/>
      <w:r>
        <w:rPr/>
        <w:t xml:space="preserve">Barbosa, Ana Maria da Silva, Taciana de Barros Jerônimo, Patrícia Tatiana Ferreira Ramos, and Juliana Karla Rodrigues de Souza Santos. 2020. “A Gestão de Facilities Na Manutenção de Uma Instituição Pública.” </w:t>
      </w:r>
      <w:r>
        <w:rPr>
          <w:i/>
          <w:iCs/>
        </w:rPr>
        <w:t>Revista Gestão Industrial</w:t>
      </w:r>
      <w:r>
        <w:rPr/>
        <w:t xml:space="preserve"> 16 (3): 129–46. </w:t>
      </w:r>
      <w:hyperlink r:id="rId19">
        <w:r>
          <w:rPr>
            <w:rStyle w:val="Hyperlink"/>
          </w:rPr>
          <w:t>https://doi.org/10.3895/gi.v16n3.8968</w:t>
        </w:r>
      </w:hyperlink>
      <w:r>
        <w:rPr/>
        <w:t>.</w:t>
      </w:r>
      <w:bookmarkEnd w:id="41"/>
    </w:p>
    <w:p>
      <w:pPr>
        <w:pStyle w:val="Bibliography"/>
        <w:rPr/>
      </w:pPr>
      <w:bookmarkStart w:id="42" w:name="ref-chew_manutenibilidadeverde_2016"/>
      <w:r>
        <w:rPr/>
        <w:t xml:space="preserve">Chew, Michael Yit Lin, and Sheila Conejos. 2016. “Developing a Green Maintainability Framework for Green Walls in Singapore.” </w:t>
      </w:r>
      <w:r>
        <w:rPr>
          <w:i/>
          <w:iCs/>
        </w:rPr>
        <w:t>Structural Survey</w:t>
      </w:r>
      <w:r>
        <w:rPr/>
        <w:t xml:space="preserve"> 34 (4/5): 379–406. </w:t>
      </w:r>
      <w:hyperlink r:id="rId20">
        <w:r>
          <w:rPr>
            <w:rStyle w:val="Hyperlink"/>
          </w:rPr>
          <w:t>https://doi.org/10.1108/SS-02-2016-0007</w:t>
        </w:r>
      </w:hyperlink>
      <w:r>
        <w:rPr/>
        <w:t>.</w:t>
      </w:r>
      <w:bookmarkEnd w:id="42"/>
    </w:p>
    <w:p>
      <w:pPr>
        <w:pStyle w:val="Bibliography"/>
        <w:rPr/>
      </w:pPr>
      <w:bookmarkStart w:id="43" w:name="ref-conejos_verticalgreenery_2019"/>
      <w:r>
        <w:rPr/>
        <w:t xml:space="preserve">Conejos, Sheila, Michael Yit Lin Chew, and Fikril Hakim Bin Azril. 2019. “Green Maintainability Assessment of High-Rise Vertical Greenery Systems.” </w:t>
      </w:r>
      <w:r>
        <w:rPr>
          <w:i/>
          <w:iCs/>
        </w:rPr>
        <w:t>Facilities</w:t>
      </w:r>
      <w:r>
        <w:rPr/>
        <w:t xml:space="preserve"> 37 (13/14): 1008–47. </w:t>
      </w:r>
      <w:hyperlink r:id="rId21">
        <w:r>
          <w:rPr>
            <w:rStyle w:val="Hyperlink"/>
          </w:rPr>
          <w:t>https://doi.org/10.1108/F-09-2018-0107</w:t>
        </w:r>
      </w:hyperlink>
      <w:r>
        <w:rPr/>
        <w:t>.</w:t>
      </w:r>
      <w:bookmarkEnd w:id="43"/>
    </w:p>
    <w:p>
      <w:pPr>
        <w:pStyle w:val="Bibliography"/>
        <w:rPr/>
      </w:pPr>
      <w:bookmarkStart w:id="44" w:name="ref-crossref_restapi_2026"/>
      <w:r>
        <w:rPr/>
        <w:t xml:space="preserve">Crossref. 2026. “REST API: Metadata Retrieval.” 2026. </w:t>
      </w:r>
      <w:hyperlink r:id="rId22">
        <w:r>
          <w:rPr>
            <w:rStyle w:val="Hyperlink"/>
          </w:rPr>
          <w:t>https://www.crossref.org/documentation/retrieve-metadata/rest-api/</w:t>
        </w:r>
      </w:hyperlink>
      <w:r>
        <w:rPr/>
        <w:t>.</w:t>
      </w:r>
      <w:bookmarkEnd w:id="44"/>
    </w:p>
    <w:p>
      <w:pPr>
        <w:pStyle w:val="Bibliography"/>
        <w:rPr/>
      </w:pPr>
      <w:bookmarkStart w:id="45" w:name="ref-das_iotai_2025"/>
      <w:r>
        <w:rPr/>
        <w:t xml:space="preserve">Das, Dillip Kumar. 2025. “Integrating IoT and AI for Sustainable Energy-Efficient Smart Building: Potential, Barriers and Strategic Pathways.” </w:t>
      </w:r>
      <w:r>
        <w:rPr>
          <w:i/>
          <w:iCs/>
        </w:rPr>
        <w:t>Sustainability</w:t>
      </w:r>
      <w:r>
        <w:rPr/>
        <w:t xml:space="preserve"> 17 (22): 10313. </w:t>
      </w:r>
      <w:hyperlink r:id="rId23">
        <w:r>
          <w:rPr>
            <w:rStyle w:val="Hyperlink"/>
          </w:rPr>
          <w:t>https://doi.org/10.3390/su172210313</w:t>
        </w:r>
      </w:hyperlink>
      <w:r>
        <w:rPr/>
        <w:t>.</w:t>
      </w:r>
      <w:bookmarkEnd w:id="45"/>
    </w:p>
    <w:p>
      <w:pPr>
        <w:pStyle w:val="Bibliography"/>
        <w:rPr/>
      </w:pPr>
      <w:bookmarkStart w:id="46" w:name="ref-deng_bimdigitaltwins_2021"/>
      <w:r>
        <w:rPr/>
        <w:t xml:space="preserve">Deng, Min, Carol C. Menassa, and Vineet R. Kamat. 2021. “From BIM to Digital Twins: A Systematic Review of the Evolution of Intelligent Building Representations in the AEC-FM Industry.” </w:t>
      </w:r>
      <w:r>
        <w:rPr>
          <w:i/>
          <w:iCs/>
        </w:rPr>
        <w:t>Journal of Information Technology in Construction (ITcon)</w:t>
      </w:r>
      <w:r>
        <w:rPr/>
        <w:t xml:space="preserve"> 26: 58–83. </w:t>
      </w:r>
      <w:hyperlink r:id="rId24">
        <w:r>
          <w:rPr>
            <w:rStyle w:val="Hyperlink"/>
          </w:rPr>
          <w:t>https://doi.org/10.36680/j.itcon.2021.005</w:t>
        </w:r>
      </w:hyperlink>
      <w:r>
        <w:rPr/>
        <w:t>.</w:t>
      </w:r>
      <w:bookmarkEnd w:id="46"/>
    </w:p>
    <w:p>
      <w:pPr>
        <w:pStyle w:val="Bibliography"/>
        <w:rPr/>
      </w:pPr>
      <w:bookmarkStart w:id="47" w:name="ref-donthu_bibliometria_2021"/>
      <w:r>
        <w:rPr/>
        <w:t xml:space="preserve">Donthu, Naveen, Satish Kumar, Debmalya Mukherjee, Nitesh Pandey, and Weng Marc Lim. 2021. “How to Conduct a Bibliometric Analysis: An Overview and Guidelines.” </w:t>
      </w:r>
      <w:r>
        <w:rPr>
          <w:i/>
          <w:iCs/>
        </w:rPr>
        <w:t>Journal of Business Research</w:t>
      </w:r>
      <w:r>
        <w:rPr/>
        <w:t xml:space="preserve"> 133: 285–96. </w:t>
      </w:r>
      <w:hyperlink r:id="rId25">
        <w:r>
          <w:rPr>
            <w:rStyle w:val="Hyperlink"/>
          </w:rPr>
          <w:t>https://doi.org/10.1016/j.jbusres.2021.04.070</w:t>
        </w:r>
      </w:hyperlink>
      <w:r>
        <w:rPr/>
        <w:t>.</w:t>
      </w:r>
      <w:bookmarkEnd w:id="47"/>
    </w:p>
    <w:p>
      <w:pPr>
        <w:pStyle w:val="Bibliography"/>
        <w:rPr/>
      </w:pPr>
      <w:bookmarkStart w:id="48" w:name="ref-gispert_ontologiaativos_2025"/>
      <w:r>
        <w:rPr/>
        <w:t xml:space="preserve">Espinosa Gispert, Diego, Ibrahim Yitmen, Habib Sadri, and Afshin Taheri. 2025. “Development of an Ontology-Based Asset Information Model for Predictive Maintenance in Building Facilities.” </w:t>
      </w:r>
      <w:r>
        <w:rPr>
          <w:i/>
          <w:iCs/>
        </w:rPr>
        <w:t>Smart and Sustainable Built Environment</w:t>
      </w:r>
      <w:r>
        <w:rPr/>
        <w:t xml:space="preserve"> 14 (3): 740–57. </w:t>
      </w:r>
      <w:hyperlink r:id="rId26">
        <w:r>
          <w:rPr>
            <w:rStyle w:val="Hyperlink"/>
          </w:rPr>
          <w:t>https://doi.org/10.1108/SASBE-07-2023-0170</w:t>
        </w:r>
      </w:hyperlink>
      <w:r>
        <w:rPr/>
        <w:t>.</w:t>
      </w:r>
      <w:bookmarkEnd w:id="48"/>
    </w:p>
    <w:p>
      <w:pPr>
        <w:pStyle w:val="Bibliography"/>
        <w:rPr/>
      </w:pPr>
      <w:bookmarkStart w:id="49" w:name="ref-ferreira_manutencaoceramica_2020"/>
      <w:r>
        <w:rPr/>
        <w:t xml:space="preserve">Ferreira, Cláudia, Luís Canhoto Neves, Ana Silva, and Jorge de Brito. 2020. “Stochastic Maintenance Models for Ceramic Claddings.” </w:t>
      </w:r>
      <w:r>
        <w:rPr>
          <w:i/>
          <w:iCs/>
        </w:rPr>
        <w:t>Structure and Infrastructure Engineering</w:t>
      </w:r>
      <w:r>
        <w:rPr/>
        <w:t xml:space="preserve"> 16 (2): 247–65. </w:t>
      </w:r>
      <w:hyperlink r:id="rId27">
        <w:r>
          <w:rPr>
            <w:rStyle w:val="Hyperlink"/>
          </w:rPr>
          <w:t>https://doi.org/10.1080/15732479.2019.1652657</w:t>
        </w:r>
      </w:hyperlink>
      <w:r>
        <w:rPr/>
        <w:t>.</w:t>
      </w:r>
      <w:bookmarkEnd w:id="49"/>
    </w:p>
    <w:p>
      <w:pPr>
        <w:pStyle w:val="Bibliography"/>
        <w:rPr/>
      </w:pPr>
      <w:bookmarkStart w:id="50" w:name="ref-goretti_bimoem_2023"/>
      <w:r>
        <w:rPr/>
        <w:t xml:space="preserve">Goretti, Hannah A., and Peter Kaming. 2023. “A Review and Bibliometric Analysis of Utilizing Building Information Modeling (BIM) on Effective Operation and Maintenance (o&amp;m).” </w:t>
      </w:r>
      <w:r>
        <w:rPr>
          <w:i/>
          <w:iCs/>
        </w:rPr>
        <w:t>E3S Web of Conferences</w:t>
      </w:r>
      <w:r>
        <w:rPr/>
        <w:t xml:space="preserve"> 429: 01002. </w:t>
      </w:r>
      <w:hyperlink r:id="rId28">
        <w:r>
          <w:rPr>
            <w:rStyle w:val="Hyperlink"/>
          </w:rPr>
          <w:t>https://doi.org/10.1051/e3sconf/202342901002</w:t>
        </w:r>
      </w:hyperlink>
      <w:r>
        <w:rPr/>
        <w:t>.</w:t>
      </w:r>
      <w:bookmarkEnd w:id="50"/>
    </w:p>
    <w:p>
      <w:pPr>
        <w:pStyle w:val="Bibliography"/>
        <w:rPr/>
      </w:pPr>
      <w:bookmarkStart w:id="51" w:name="ref-hu_revisao_sintese_2026"/>
      <w:r>
        <w:rPr/>
        <w:t xml:space="preserve">Hu, Meilan, Paye Shin Koh, Xun Ci Soh, Andree Hartanto, and Nadyanna M. Majeed. 2026. “From Review to Synthesis: A Step-by-Step Methodological Guide to Systematic Reviews and Multilevel Meta-Analyses.” </w:t>
      </w:r>
      <w:r>
        <w:rPr>
          <w:i/>
          <w:iCs/>
        </w:rPr>
        <w:t>Behavior Research Methods</w:t>
      </w:r>
      <w:r>
        <w:rPr/>
        <w:t xml:space="preserve"> 58 (7): 197. </w:t>
      </w:r>
      <w:hyperlink r:id="rId29">
        <w:r>
          <w:rPr>
            <w:rStyle w:val="Hyperlink"/>
          </w:rPr>
          <w:t>https://doi.org/10.3758/s13428-026-02961-x</w:t>
        </w:r>
      </w:hyperlink>
      <w:r>
        <w:rPr/>
        <w:t>.</w:t>
      </w:r>
      <w:bookmarkEnd w:id="51"/>
    </w:p>
    <w:p>
      <w:pPr>
        <w:pStyle w:val="Bibliography"/>
        <w:rPr/>
      </w:pPr>
      <w:bookmarkStart w:id="52" w:name="ref-jiang_deduplicacao_regras_2014"/>
      <w:r>
        <w:rPr/>
        <w:t xml:space="preserve">Jiang, Yu, Can Lin, Weiyi Meng, Clement Yu, Aaron M. Cohen, and Neil R. Smalheiser. 2014. “Rule-Based Deduplication of Article Records from Bibliographic Databases.” </w:t>
      </w:r>
      <w:r>
        <w:rPr>
          <w:i/>
          <w:iCs/>
        </w:rPr>
        <w:t>Database</w:t>
      </w:r>
      <w:r>
        <w:rPr/>
        <w:t xml:space="preserve"> 2014: bat086. </w:t>
      </w:r>
      <w:hyperlink r:id="rId30">
        <w:r>
          <w:rPr>
            <w:rStyle w:val="Hyperlink"/>
          </w:rPr>
          <w:t>https://doi.org/10.1093/database/bat086</w:t>
        </w:r>
      </w:hyperlink>
      <w:r>
        <w:rPr/>
        <w:t>.</w:t>
      </w:r>
      <w:bookmarkEnd w:id="52"/>
    </w:p>
    <w:p>
      <w:pPr>
        <w:pStyle w:val="Bibliography"/>
        <w:rPr/>
      </w:pPr>
      <w:bookmarkStart w:id="53" w:name="ref-kim_estimativacustoseducacional_2018"/>
      <w:r>
        <w:rPr/>
        <w:t xml:space="preserve">Kim, Ji-Myong, Taehui Kim, Yeong-Jin Yu, and Kiyoung Son. 2018. “Development of a Maintenance and Repair Cost Estimation Model for Educational Buildings Using Regression Analysis.” </w:t>
      </w:r>
      <w:r>
        <w:rPr>
          <w:i/>
          <w:iCs/>
        </w:rPr>
        <w:t>Journal of Asian Architecture and Building Engineering</w:t>
      </w:r>
      <w:r>
        <w:rPr/>
        <w:t xml:space="preserve"> 17 (2): 307–12. </w:t>
      </w:r>
      <w:hyperlink r:id="rId31">
        <w:r>
          <w:rPr>
            <w:rStyle w:val="Hyperlink"/>
          </w:rPr>
          <w:t>https://doi.org/10.3130/jaabe.17.307</w:t>
        </w:r>
      </w:hyperlink>
      <w:r>
        <w:rPr/>
        <w:t>.</w:t>
      </w:r>
      <w:bookmarkEnd w:id="53"/>
    </w:p>
    <w:p>
      <w:pPr>
        <w:pStyle w:val="Bibliography"/>
        <w:rPr/>
      </w:pPr>
      <w:bookmarkStart w:id="54" w:name="ref-lateef_manutencaouniversidade_2010"/>
      <w:r>
        <w:rPr/>
        <w:t xml:space="preserve">Lateef, Olanrewaju Abdul, Mohd Faris Khamidi, and Arazi Idrus. 2010. “Building Maintenance Management in a Malaysian University Campuses: A Case Study.” </w:t>
      </w:r>
      <w:r>
        <w:rPr>
          <w:i/>
          <w:iCs/>
        </w:rPr>
        <w:t>Australasian Journal of Construction Economics and Building</w:t>
      </w:r>
      <w:r>
        <w:rPr/>
        <w:t xml:space="preserve"> 10 (1/2): 76–89.</w:t>
      </w:r>
      <w:bookmarkEnd w:id="54"/>
    </w:p>
    <w:p>
      <w:pPr>
        <w:pStyle w:val="Bibliography"/>
        <w:rPr/>
      </w:pPr>
      <w:bookmarkStart w:id="55" w:name="ref-maia_gestaoinformacaomanutencao_2016"/>
      <w:r>
        <w:rPr/>
        <w:t xml:space="preserve">Maia, Barbara Lepca, Sérgio Scheer, and Maria do Carmo Duarte Freitas. 2016. “Manutenção Predial: A Prospecta de Decisões a Partir Da Gestão Da Informação.” </w:t>
      </w:r>
      <w:r>
        <w:rPr>
          <w:i/>
          <w:iCs/>
        </w:rPr>
        <w:t>Revista de Engenharia e Tecnologia</w:t>
      </w:r>
      <w:r>
        <w:rPr/>
        <w:t xml:space="preserve"> 8 (3): 37–55.</w:t>
      </w:r>
      <w:bookmarkEnd w:id="55"/>
    </w:p>
    <w:p>
      <w:pPr>
        <w:pStyle w:val="Bibliography"/>
        <w:rPr/>
      </w:pPr>
      <w:bookmarkStart w:id="56" w:name="ref-martins_custosmanutencaoses_2024"/>
      <w:r>
        <w:rPr/>
        <w:t xml:space="preserve">Martins, Rafael Fernando Batista, and Márcia Maria dos Santos Bortolocci Espejo. 2024. “Análise de Custos de Manutenção Predial Em Uma Universidade Federal Brasileira Com Uso Do Modelo de Suavização Exponencial Simples.” </w:t>
      </w:r>
      <w:r>
        <w:rPr>
          <w:i/>
          <w:iCs/>
        </w:rPr>
        <w:t>ABCustos</w:t>
      </w:r>
      <w:r>
        <w:rPr/>
        <w:t xml:space="preserve"> 19 (1): 79–98. </w:t>
      </w:r>
      <w:hyperlink r:id="rId32">
        <w:r>
          <w:rPr>
            <w:rStyle w:val="Hyperlink"/>
          </w:rPr>
          <w:t>https://doi.org/10.47179/abcustos.v19i1.719</w:t>
        </w:r>
      </w:hyperlink>
      <w:r>
        <w:rPr/>
        <w:t>.</w:t>
      </w:r>
      <w:bookmarkEnd w:id="56"/>
    </w:p>
    <w:p>
      <w:pPr>
        <w:pStyle w:val="Bibliography"/>
        <w:rPr/>
      </w:pPr>
      <w:bookmarkStart w:id="57" w:name="ref-masmoudi_ahptopsis_2026"/>
      <w:r>
        <w:rPr/>
        <w:t xml:space="preserve">Masmoudi, Malek, Mohamed Alshamsi, Sujan Piya, and Srikant Gupta. 2026. “Contractors Allocation for Public Building Maintenance: A Sustainable Approach Aligned with SDGs Using AHP-TOPSIS and Bi-Objective Optimization.” </w:t>
      </w:r>
      <w:r>
        <w:rPr>
          <w:i/>
          <w:iCs/>
        </w:rPr>
        <w:t>International Transactions in Operational Research</w:t>
      </w:r>
      <w:r>
        <w:rPr/>
        <w:t xml:space="preserve"> 33 (4): 2535–76. </w:t>
      </w:r>
      <w:hyperlink r:id="rId33">
        <w:r>
          <w:rPr>
            <w:rStyle w:val="Hyperlink"/>
          </w:rPr>
          <w:t>https://doi.org/10.1111/itor.70022</w:t>
        </w:r>
      </w:hyperlink>
      <w:r>
        <w:rPr/>
        <w:t>.</w:t>
      </w:r>
      <w:bookmarkEnd w:id="57"/>
    </w:p>
    <w:p>
      <w:pPr>
        <w:pStyle w:val="Bibliography"/>
        <w:rPr/>
      </w:pPr>
      <w:bookmarkStart w:id="58" w:name="ref-morais_eficienciamanutencao_2023"/>
      <w:r>
        <w:rPr/>
        <w:t xml:space="preserve">Morais, Lucas Salomão Rael de, Heber Martins de Paula, and Ricardo Prado Abreu Reis. 2023. “Promoção Da Eficiência Da Manutenção Predial Em Edificações Públicas: Abordagem Baseada Em Registros de Ordens de Serviço.” </w:t>
      </w:r>
      <w:r>
        <w:rPr>
          <w:i/>
          <w:iCs/>
        </w:rPr>
        <w:t>Paranoá</w:t>
      </w:r>
      <w:r>
        <w:rPr/>
        <w:t xml:space="preserve"> 16 (34): 1–27. </w:t>
      </w:r>
      <w:hyperlink r:id="rId34">
        <w:r>
          <w:rPr>
            <w:rStyle w:val="Hyperlink"/>
          </w:rPr>
          <w:t>https://doi.org/10.18830/issn.1679-0944.n34.2023.08</w:t>
        </w:r>
      </w:hyperlink>
      <w:r>
        <w:rPr/>
        <w:t>.</w:t>
      </w:r>
      <w:bookmarkEnd w:id="58"/>
    </w:p>
    <w:p>
      <w:pPr>
        <w:pStyle w:val="Bibliography"/>
        <w:rPr/>
      </w:pPr>
      <w:bookmarkStart w:id="59" w:name="ref-motuziene_ventilacaoia_2025"/>
      <w:r>
        <w:rPr/>
        <w:t xml:space="preserve">Motuzienė, Violeta, Jonas Bielskus, Rasa Džiugaitė-Tumėnienė, and Vidas Raudonis. 2025. “Occupancy-Based Predictive AI-Driven Ventilation Control for Energy Savings in Office Buildings.” </w:t>
      </w:r>
      <w:r>
        <w:rPr>
          <w:i/>
          <w:iCs/>
        </w:rPr>
        <w:t>Sustainability</w:t>
      </w:r>
      <w:r>
        <w:rPr/>
        <w:t xml:space="preserve"> 17 (9): 4140. </w:t>
      </w:r>
      <w:hyperlink r:id="rId35">
        <w:r>
          <w:rPr>
            <w:rStyle w:val="Hyperlink"/>
          </w:rPr>
          <w:t>https://doi.org/10.3390/su17094140</w:t>
        </w:r>
      </w:hyperlink>
      <w:r>
        <w:rPr/>
        <w:t>.</w:t>
      </w:r>
      <w:bookmarkEnd w:id="59"/>
    </w:p>
    <w:p>
      <w:pPr>
        <w:pStyle w:val="Bibliography"/>
        <w:rPr/>
      </w:pPr>
      <w:bookmarkStart w:id="60" w:name="ref-nageli_ciclovida_2019"/>
      <w:r>
        <w:rPr/>
        <w:t xml:space="preserve">Nägeli, Claudio, Abolfazl Farahani, Magnus Österbring, Jan-Olof Dalenbäck, and Holger Wallbaum. 2019. “A Service-Life Cycle Approach to Maintenance and Energy Retrofit Planning for Building Portfolios.” </w:t>
      </w:r>
      <w:r>
        <w:rPr>
          <w:i/>
          <w:iCs/>
        </w:rPr>
        <w:t>Building and Environment</w:t>
      </w:r>
      <w:r>
        <w:rPr/>
        <w:t xml:space="preserve"> 160: 106212. </w:t>
      </w:r>
      <w:hyperlink r:id="rId36">
        <w:r>
          <w:rPr>
            <w:rStyle w:val="Hyperlink"/>
          </w:rPr>
          <w:t>https://doi.org/10.1016/j.buildenv.2019.106212</w:t>
        </w:r>
      </w:hyperlink>
      <w:r>
        <w:rPr/>
        <w:t>.</w:t>
      </w:r>
      <w:bookmarkEnd w:id="60"/>
    </w:p>
    <w:p>
      <w:pPr>
        <w:pStyle w:val="Bibliography"/>
        <w:rPr/>
      </w:pPr>
      <w:bookmarkStart w:id="61" w:name="ref-naji_campusdelphi_2023"/>
      <w:r>
        <w:rPr/>
        <w:t xml:space="preserve">Naji, Khalid K., Murat Gunduz, and Omar Maki. 2023. “Development of a Campus Facility Management Operational Framework Using a Modified Delphi Method.” </w:t>
      </w:r>
      <w:r>
        <w:rPr>
          <w:i/>
          <w:iCs/>
        </w:rPr>
        <w:t>Journal of Construction Engineering and Management</w:t>
      </w:r>
      <w:r>
        <w:rPr/>
        <w:t xml:space="preserve"> 149 (7): 04023052. </w:t>
      </w:r>
      <w:hyperlink r:id="rId37">
        <w:r>
          <w:rPr>
            <w:rStyle w:val="Hyperlink"/>
          </w:rPr>
          <w:t>https://doi.org/10.1061/JCEMD4.COENG-13154</w:t>
        </w:r>
      </w:hyperlink>
      <w:r>
        <w:rPr/>
        <w:t>.</w:t>
      </w:r>
      <w:bookmarkEnd w:id="61"/>
    </w:p>
    <w:p>
      <w:pPr>
        <w:pStyle w:val="Bibliography"/>
        <w:rPr/>
      </w:pPr>
      <w:bookmarkStart w:id="62" w:name="X29a0b815a0fa8c82998c6fb0764f2ef94fd929e"/>
      <w:r>
        <w:rPr/>
        <w:t xml:space="preserve">Ndukuba, Samuel Nnadoziem. 2025. “Building Institutional Resilience Through Sustainable Facility Management in South African Vocational Education.” </w:t>
      </w:r>
      <w:r>
        <w:rPr>
          <w:i/>
          <w:iCs/>
        </w:rPr>
        <w:t>Construction Entrepreneurship and Real Property</w:t>
      </w:r>
      <w:r>
        <w:rPr/>
        <w:t xml:space="preserve"> 2 (2): 110–23. </w:t>
      </w:r>
      <w:hyperlink r:id="rId38">
        <w:r>
          <w:rPr>
            <w:rStyle w:val="Hyperlink"/>
          </w:rPr>
          <w:t>https://doi.org/10.56065/pdpyke84</w:t>
        </w:r>
      </w:hyperlink>
      <w:r>
        <w:rPr/>
        <w:t>.</w:t>
      </w:r>
      <w:bookmarkEnd w:id="62"/>
    </w:p>
    <w:p>
      <w:pPr>
        <w:pStyle w:val="Bibliography"/>
        <w:rPr/>
      </w:pPr>
      <w:bookmarkStart w:id="63" w:name="ref-nielsen_sustentabilidadefm_2016"/>
      <w:r>
        <w:rPr/>
        <w:t xml:space="preserve">Nielsen, Susanne Balslev, Anna-Liisa Sarasoja, and Kirsten Ramskov Galamba. 2016. “Sustainability in Facilities Management: An Overview of Current Research.” </w:t>
      </w:r>
      <w:r>
        <w:rPr>
          <w:i/>
          <w:iCs/>
        </w:rPr>
        <w:t>Facilities</w:t>
      </w:r>
      <w:r>
        <w:rPr/>
        <w:t xml:space="preserve"> 34 (9-10): 535–63. </w:t>
      </w:r>
      <w:hyperlink r:id="rId39">
        <w:r>
          <w:rPr>
            <w:rStyle w:val="Hyperlink"/>
          </w:rPr>
          <w:t>https://doi.org/10.1108/F-07-2014-0060</w:t>
        </w:r>
      </w:hyperlink>
      <w:r>
        <w:rPr/>
        <w:t>.</w:t>
      </w:r>
      <w:bookmarkEnd w:id="63"/>
    </w:p>
    <w:p>
      <w:pPr>
        <w:pStyle w:val="Bibliography"/>
        <w:rPr/>
      </w:pPr>
      <w:bookmarkStart w:id="64" w:name="ref-okoro_sustainablefm_2023"/>
      <w:r>
        <w:rPr/>
        <w:t xml:space="preserve">Okoro, Chioma Sylvia. 2023. “Sustainable Facilities Management in the Built Environment: A Mixed-Method Review.” </w:t>
      </w:r>
      <w:r>
        <w:rPr>
          <w:i/>
          <w:iCs/>
        </w:rPr>
        <w:t>Sustainability</w:t>
      </w:r>
      <w:r>
        <w:rPr/>
        <w:t xml:space="preserve"> 15 (4): 3174. </w:t>
      </w:r>
      <w:hyperlink r:id="rId40">
        <w:r>
          <w:rPr>
            <w:rStyle w:val="Hyperlink"/>
          </w:rPr>
          <w:t>https://doi.org/10.3390/su15043174</w:t>
        </w:r>
      </w:hyperlink>
      <w:r>
        <w:rPr/>
        <w:t>.</w:t>
      </w:r>
      <w:bookmarkEnd w:id="64"/>
    </w:p>
    <w:p>
      <w:pPr>
        <w:pStyle w:val="Bibliography"/>
        <w:rPr/>
      </w:pPr>
      <w:bookmarkStart w:id="65" w:name="ref-opoku_futurofm_2022"/>
      <w:r>
        <w:rPr/>
        <w:t xml:space="preserve">Opoku, Alex, and Jeoung Yul Lee. 2022. “The Future of Facilities Management: Managing Facilities for Sustainable Development.” </w:t>
      </w:r>
      <w:r>
        <w:rPr>
          <w:i/>
          <w:iCs/>
        </w:rPr>
        <w:t>Sustainability</w:t>
      </w:r>
      <w:r>
        <w:rPr/>
        <w:t xml:space="preserve"> 14 (3): 1705. </w:t>
      </w:r>
      <w:hyperlink r:id="rId41">
        <w:r>
          <w:rPr>
            <w:rStyle w:val="Hyperlink"/>
          </w:rPr>
          <w:t>https://doi.org/10.3390/su14031705</w:t>
        </w:r>
      </w:hyperlink>
      <w:r>
        <w:rPr/>
        <w:t>.</w:t>
      </w:r>
      <w:bookmarkEnd w:id="65"/>
    </w:p>
    <w:p>
      <w:pPr>
        <w:pStyle w:val="Bibliography"/>
        <w:rPr/>
      </w:pPr>
      <w:bookmarkStart w:id="66" w:name="ref-othman_manutenibilidadeesi_2023"/>
      <w:r>
        <w:rPr/>
        <w:t xml:space="preserve">Othman, Ayman Ahmed Ezzat, and Ahmed Kamal. 2023. “Enhancing Building Maintainability Through Early Supplier Involvement in the Design Process.” </w:t>
      </w:r>
      <w:r>
        <w:rPr>
          <w:i/>
          <w:iCs/>
        </w:rPr>
        <w:t>Organization, Technology and Management in Construction</w:t>
      </w:r>
      <w:r>
        <w:rPr/>
        <w:t xml:space="preserve"> 15: 34–49. </w:t>
      </w:r>
      <w:hyperlink r:id="rId42">
        <w:r>
          <w:rPr>
            <w:rStyle w:val="Hyperlink"/>
          </w:rPr>
          <w:t>https://doi.org/10.2478/otmcj-2023-0005</w:t>
        </w:r>
      </w:hyperlink>
      <w:r>
        <w:rPr/>
        <w:t>.</w:t>
      </w:r>
      <w:bookmarkEnd w:id="66"/>
    </w:p>
    <w:p>
      <w:pPr>
        <w:pStyle w:val="Bibliography"/>
        <w:rPr/>
      </w:pPr>
      <w:bookmarkStart w:id="67" w:name="ref-park_cbrfuzzyahp_2019"/>
      <w:r>
        <w:rPr/>
        <w:t xml:space="preserve">Park, Sojin, Nahyun Kwon, and Yonghan Ahn. 2019. “Forecasting Repair Schedule for Building Components Based on Case-Based Reasoning and Fuzzy-AHP.” </w:t>
      </w:r>
      <w:r>
        <w:rPr>
          <w:i/>
          <w:iCs/>
        </w:rPr>
        <w:t>Sustainability</w:t>
      </w:r>
      <w:r>
        <w:rPr/>
        <w:t xml:space="preserve"> 11 (24): 7181. </w:t>
      </w:r>
      <w:hyperlink r:id="rId43">
        <w:r>
          <w:rPr>
            <w:rStyle w:val="Hyperlink"/>
          </w:rPr>
          <w:t>https://doi.org/10.3390/su11247181</w:t>
        </w:r>
      </w:hyperlink>
      <w:r>
        <w:rPr/>
        <w:t>.</w:t>
      </w:r>
      <w:bookmarkEnd w:id="67"/>
    </w:p>
    <w:p>
      <w:pPr>
        <w:pStyle w:val="Bibliography"/>
        <w:rPr/>
      </w:pPr>
      <w:bookmarkStart w:id="68" w:name="ref-ramantswana_esgfm_2026"/>
      <w:r>
        <w:rPr/>
        <w:t xml:space="preserve">Ramantswana, Thabelo, Bankole Awuzie, Lerato Mompati, and Thabo Khafiso. 2026. “Embedding ESG in Facility Management Practices: A South African Corporate Real Estate Perspective.” </w:t>
      </w:r>
      <w:r>
        <w:rPr>
          <w:i/>
          <w:iCs/>
        </w:rPr>
        <w:t>International Journal of Building Pathology and Adaptation</w:t>
      </w:r>
      <w:r>
        <w:rPr/>
        <w:t xml:space="preserve"> 44 (5): 1246–66. </w:t>
      </w:r>
      <w:hyperlink r:id="rId44">
        <w:r>
          <w:rPr>
            <w:rStyle w:val="Hyperlink"/>
          </w:rPr>
          <w:t>https://doi.org/10.1108/IJBPA-07-2025-0169</w:t>
        </w:r>
      </w:hyperlink>
      <w:r>
        <w:rPr/>
        <w:t>.</w:t>
      </w:r>
      <w:bookmarkEnd w:id="68"/>
    </w:p>
    <w:p>
      <w:pPr>
        <w:pStyle w:val="Bibliography"/>
        <w:rPr/>
      </w:pPr>
      <w:bookmarkStart w:id="69" w:name="ref-rathbone_deduplicacao_2015"/>
      <w:r>
        <w:rPr/>
        <w:t xml:space="preserve">Rathbone, John, Matt Carter, Tammy Hoffmann, and Paul Glasziou. 2015. “Better Duplicate Detection for Systematic Reviewers: Evaluation of Systematic Review Assistant-Deduplication Module.” </w:t>
      </w:r>
      <w:r>
        <w:rPr>
          <w:i/>
          <w:iCs/>
        </w:rPr>
        <w:t>Systematic Reviews</w:t>
      </w:r>
      <w:r>
        <w:rPr/>
        <w:t xml:space="preserve"> 4: 6. </w:t>
      </w:r>
      <w:hyperlink r:id="rId45">
        <w:r>
          <w:rPr>
            <w:rStyle w:val="Hyperlink"/>
          </w:rPr>
          <w:t>https://doi.org/10.1186/2046-4053-4-6</w:t>
        </w:r>
      </w:hyperlink>
      <w:r>
        <w:rPr/>
        <w:t>.</w:t>
      </w:r>
      <w:bookmarkEnd w:id="69"/>
    </w:p>
    <w:p>
      <w:pPr>
        <w:pStyle w:val="Bibliography"/>
        <w:rPr/>
      </w:pPr>
      <w:bookmarkStart w:id="70" w:name="ref-snyder_revisaometodologia_2019"/>
      <w:r>
        <w:rPr/>
        <w:t xml:space="preserve">Snyder, Hannah. 2019. “Literature Review as a Research Methodology: An Overview and Guidelines.” </w:t>
      </w:r>
      <w:r>
        <w:rPr>
          <w:i/>
          <w:iCs/>
        </w:rPr>
        <w:t>Journal of Business Research</w:t>
      </w:r>
      <w:r>
        <w:rPr/>
        <w:t xml:space="preserve"> 104: 333–39. </w:t>
      </w:r>
      <w:hyperlink r:id="rId46">
        <w:r>
          <w:rPr>
            <w:rStyle w:val="Hyperlink"/>
          </w:rPr>
          <w:t>https://doi.org/10.1016/j.jbusres.2019.07.039</w:t>
        </w:r>
      </w:hyperlink>
      <w:r>
        <w:rPr/>
        <w:t>.</w:t>
      </w:r>
      <w:bookmarkEnd w:id="70"/>
    </w:p>
    <w:p>
      <w:pPr>
        <w:pStyle w:val="Bibliography"/>
        <w:rPr/>
      </w:pPr>
      <w:bookmarkStart w:id="71" w:name="ref-suh_demandaenergiaagua_2012"/>
      <w:r>
        <w:rPr/>
        <w:t xml:space="preserve">Suh, Dongjun, and Seongju Chang. 2012. “An Energy and Water Resource Demand Estimation Model for Multi-Family Housing Complexes in Korea.” </w:t>
      </w:r>
      <w:r>
        <w:rPr>
          <w:i/>
          <w:iCs/>
        </w:rPr>
        <w:t>Energies</w:t>
      </w:r>
      <w:r>
        <w:rPr/>
        <w:t xml:space="preserve"> 5 (11): 4497–4516. </w:t>
      </w:r>
      <w:hyperlink r:id="rId47">
        <w:r>
          <w:rPr>
            <w:rStyle w:val="Hyperlink"/>
          </w:rPr>
          <w:t>https://doi.org/10.3390/en5114497</w:t>
        </w:r>
      </w:hyperlink>
      <w:r>
        <w:rPr/>
        <w:t>.</w:t>
      </w:r>
      <w:bookmarkEnd w:id="71"/>
    </w:p>
    <w:p>
      <w:pPr>
        <w:pStyle w:val="Bibliography"/>
        <w:rPr/>
      </w:pPr>
      <w:bookmarkStart w:id="72" w:name="ref-talib_hospitalfm_2013"/>
      <w:r>
        <w:rPr/>
        <w:t xml:space="preserve">Talib, Yuhainis, Priyadarsini Rajagopalan, and Jay Yang. 2013. “Evaluation of Building Performance for Strategic Facilities Management in Healthcare: A Case Study of a Public Hospital in Australia.” </w:t>
      </w:r>
      <w:r>
        <w:rPr>
          <w:i/>
          <w:iCs/>
        </w:rPr>
        <w:t>Facilities</w:t>
      </w:r>
      <w:r>
        <w:rPr/>
        <w:t xml:space="preserve"> 31 (13/14): 681–701. </w:t>
      </w:r>
      <w:hyperlink r:id="rId48">
        <w:r>
          <w:rPr>
            <w:rStyle w:val="Hyperlink"/>
          </w:rPr>
          <w:t>https://doi.org/10.1108/F-06-2012-0042</w:t>
        </w:r>
      </w:hyperlink>
      <w:r>
        <w:rPr/>
        <w:t>.</w:t>
      </w:r>
      <w:bookmarkEnd w:id="72"/>
    </w:p>
    <w:p>
      <w:pPr>
        <w:pStyle w:val="Bibliography"/>
        <w:rPr/>
      </w:pPr>
      <w:bookmarkStart w:id="73" w:name="ref-tan_fluxoinformacao_2018"/>
      <w:r>
        <w:rPr/>
        <w:t xml:space="preserve">Tan, Adeline Zhu Teng, Atiq Uz Zaman, and Monty Sutrisna. 2018. “Enabling an Effective Knowledge and Information Flow Between the Phases of Building Construction and Facilities Management.” </w:t>
      </w:r>
      <w:r>
        <w:rPr>
          <w:i/>
          <w:iCs/>
        </w:rPr>
        <w:t>Facilities</w:t>
      </w:r>
      <w:r>
        <w:rPr/>
        <w:t xml:space="preserve"> 36 (3/4): 151–70. </w:t>
      </w:r>
      <w:hyperlink r:id="rId49">
        <w:r>
          <w:rPr>
            <w:rStyle w:val="Hyperlink"/>
          </w:rPr>
          <w:t>https://doi.org/10.1108/F-03-2016-0028</w:t>
        </w:r>
      </w:hyperlink>
      <w:r>
        <w:rPr/>
        <w:t>.</w:t>
      </w:r>
      <w:bookmarkEnd w:id="73"/>
    </w:p>
    <w:p>
      <w:pPr>
        <w:pStyle w:val="Bibliography"/>
        <w:rPr/>
      </w:pPr>
      <w:bookmarkStart w:id="74" w:name="ref-whittemore_revisaointegrativa_2005"/>
      <w:r>
        <w:rPr/>
        <w:t xml:space="preserve">Whittemore, Robin, and Kathleen Knafl. 2005. “The Integrative Review: Updated Methodology.” </w:t>
      </w:r>
      <w:r>
        <w:rPr>
          <w:i/>
          <w:iCs/>
        </w:rPr>
        <w:t>Journal of Advanced Nursing</w:t>
      </w:r>
      <w:r>
        <w:rPr/>
        <w:t xml:space="preserve"> 52 (5): 546–53. </w:t>
      </w:r>
      <w:hyperlink r:id="rId50">
        <w:r>
          <w:rPr>
            <w:rStyle w:val="Hyperlink"/>
          </w:rPr>
          <w:t>https://doi.org/10.1111/j.1365-2648.2005.03621.x</w:t>
        </w:r>
      </w:hyperlink>
      <w:r>
        <w:rPr/>
        <w:t>.</w:t>
      </w:r>
      <w:bookmarkEnd w:id="74"/>
    </w:p>
    <w:p>
      <w:pPr>
        <w:pStyle w:val="Bibliography"/>
        <w:rPr/>
      </w:pPr>
      <w:bookmarkStart w:id="75" w:name="ref-wu_gnnvidautil_2025"/>
      <w:r>
        <w:rPr/>
        <w:t xml:space="preserve">Wu, Pei-Yu, and S. Olof Mundt-Petersen. 2025. “Empirical Quantification and Prediction of Building Component Lifespans with Graph Neural Networks.” </w:t>
      </w:r>
      <w:r>
        <w:rPr>
          <w:i/>
          <w:iCs/>
        </w:rPr>
        <w:t>IOP Conference Series: Earth and Environmental Science</w:t>
      </w:r>
      <w:r>
        <w:rPr/>
        <w:t xml:space="preserve"> 1554: 012036. </w:t>
      </w:r>
      <w:hyperlink r:id="rId51">
        <w:r>
          <w:rPr>
            <w:rStyle w:val="Hyperlink"/>
          </w:rPr>
          <w:t>https://doi.org/10.1088/1755-1315/1554/1/012036</w:t>
        </w:r>
      </w:hyperlink>
      <w:r>
        <w:rPr/>
        <w:t>.</w:t>
      </w:r>
      <w:bookmarkEnd w:id="75"/>
    </w:p>
    <w:p>
      <w:pPr>
        <w:pStyle w:val="Bibliography"/>
        <w:spacing w:before="0" w:after="200"/>
        <w:rPr/>
      </w:pPr>
      <w:bookmarkStart w:id="76" w:name="ref-yoon_fuzzyfm_2018"/>
      <w:r>
        <w:rPr/>
        <w:t xml:space="preserve">Yoon, Jong Han, and Hee Sung Cha. 2018. “Optimal FM Strategy for Commercial Office Buildings Using Fuzzy Synthetic Evaluation.” </w:t>
      </w:r>
      <w:r>
        <w:rPr>
          <w:i/>
          <w:iCs/>
        </w:rPr>
        <w:t>Journal of Performance of Constructed Facilities</w:t>
      </w:r>
      <w:r>
        <w:rPr/>
        <w:t xml:space="preserve"> 32 (3): 04018025. </w:t>
      </w:r>
      <w:hyperlink r:id="rId52">
        <w:r>
          <w:rPr>
            <w:rStyle w:val="Hyperlink"/>
          </w:rPr>
          <w:t>https://doi.org/10.1061/(ASCE)CF.1943-5509.0001176</w:t>
        </w:r>
      </w:hyperlink>
      <w:r>
        <w:rPr/>
        <w:t>.</w:t>
      </w:r>
      <w:bookmarkEnd w:id="32"/>
      <w:bookmarkEnd w:id="33"/>
      <w:bookmarkEnd w:id="76"/>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480"/>
      </w:pPr>
      <w:rPr/>
    </w:lvl>
    <w:lvl w:ilvl="1">
      <w:start w:val="1"/>
      <w:numFmt w:val="lowerLetter"/>
      <w:lvlText w:val="%2."/>
      <w:lvlJc w:val="start"/>
      <w:pPr>
        <w:tabs>
          <w:tab w:val="num" w:pos="0"/>
        </w:tabs>
        <w:ind w:start="1440" w:hanging="480"/>
      </w:pPr>
      <w:rPr/>
    </w:lvl>
    <w:lvl w:ilvl="2">
      <w:start w:val="1"/>
      <w:numFmt w:val="lowerRoman"/>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lowerLetter"/>
      <w:lvlText w:val="%5."/>
      <w:lvlJc w:val="start"/>
      <w:pPr>
        <w:tabs>
          <w:tab w:val="num" w:pos="0"/>
        </w:tabs>
        <w:ind w:start="3600" w:hanging="480"/>
      </w:pPr>
      <w:rPr/>
    </w:lvl>
    <w:lvl w:ilvl="5">
      <w:start w:val="1"/>
      <w:numFmt w:val="lowerRoman"/>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lowerLetter"/>
      <w:lvlText w:val="%8."/>
      <w:lvlJc w:val="start"/>
      <w:pPr>
        <w:tabs>
          <w:tab w:val="num" w:pos="0"/>
        </w:tabs>
        <w:ind w:start="5760" w:hanging="480"/>
      </w:pPr>
      <w:rPr/>
    </w:lvl>
    <w:lvl w:ilvl="8">
      <w:start w:val="1"/>
      <w:numFmt w:val="lowerRoman"/>
      <w:lvlText w:val="%9."/>
      <w:lvlJc w:val="start"/>
      <w:pPr>
        <w:tabs>
          <w:tab w:val="num" w:pos="0"/>
        </w:tabs>
        <w:ind w:start="6480" w:hanging="48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2026-07-14T12:48:48Z</dcterms:created>
  <dc:creator>Adinailson Guimarães de Oliveira Programa de Pós-Graduação em Biossistemas Universidade Federal do Sul da Bahia (UFSB)</dc:creator>
  <dc:description/>
  <dc:language>en-US</dc:language>
  <cp:lastModifiedBy/>
  <dcterms:modified xsi:type="dcterms:W3CDTF">2026-07-14T12:48:48Z</dcterms:modified>
  <cp:revision>0</cp:revision>
  <dc:subject/>
  <dc:title>Manutenção sustentável em edificações universitárias públicas: revisão bibliométrica e especificação para parametrização multicritério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