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084" w:rsidRPr="00C5633A" w:rsidRDefault="00776084" w:rsidP="00776084">
      <w:pPr>
        <w:spacing w:before="120" w:after="120"/>
        <w:rPr>
          <w:rFonts w:ascii="TH SarabunPSK" w:hAnsi="TH SarabunPSK" w:cs="TH SarabunPSK"/>
          <w:b/>
          <w:bCs/>
          <w:sz w:val="32"/>
          <w:szCs w:val="32"/>
          <w:u w:val="single"/>
        </w:rPr>
      </w:pPr>
      <w:bookmarkStart w:id="0" w:name="_GoBack"/>
      <w:r w:rsidRPr="007A75BC">
        <w:rPr>
          <w:rFonts w:ascii="TH SarabunPSK" w:hAnsi="TH SarabunPSK" w:cs="TH SarabunPSK"/>
          <w:b/>
          <w:bCs/>
          <w:sz w:val="32"/>
          <w:szCs w:val="32"/>
          <w:u w:val="single"/>
        </w:rPr>
        <w:t>Dividend Policy</w:t>
      </w:r>
    </w:p>
    <w:bookmarkEnd w:id="0"/>
    <w:p w:rsidR="00776084" w:rsidRDefault="00776084" w:rsidP="00776084">
      <w:pPr>
        <w:ind w:firstLine="720"/>
        <w:jc w:val="thaiDistribute"/>
        <w:rPr>
          <w:rFonts w:ascii="TH SarabunPSK" w:hAnsi="TH SarabunPSK" w:cs="TH SarabunPSK"/>
          <w:sz w:val="28"/>
        </w:rPr>
      </w:pPr>
      <w:r w:rsidRPr="00970050">
        <w:rPr>
          <w:rFonts w:ascii="TH SarabunPSK" w:hAnsi="TH SarabunPSK" w:cs="TH SarabunPSK"/>
          <w:sz w:val="28"/>
          <w:cs/>
        </w:rPr>
        <w:t xml:space="preserve"> </w:t>
      </w:r>
      <w:r w:rsidRPr="000B43ED">
        <w:rPr>
          <w:rFonts w:ascii="TH SarabunPSK" w:hAnsi="TH SarabunPSK" w:cs="TH SarabunPSK"/>
          <w:sz w:val="28"/>
        </w:rPr>
        <w:t>The company's policy is to contribute the dividend to shareholders not less than 40 percent of the net profit (after the company's income tax has been cleared and legally reserved). Anyhow, this completely depends on economic situation, the proceedings of the company and future projects of the company.</w:t>
      </w:r>
    </w:p>
    <w:p w:rsidR="001D1CB6" w:rsidRPr="00776084" w:rsidRDefault="001D1CB6" w:rsidP="001D1CB6">
      <w:pPr>
        <w:spacing w:before="120" w:after="120"/>
        <w:jc w:val="thaiDistribute"/>
        <w:rPr>
          <w:rFonts w:ascii="TH SarabunPSK" w:hAnsi="TH SarabunPSK" w:cs="TH SarabunPSK"/>
          <w:sz w:val="28"/>
        </w:rPr>
      </w:pPr>
    </w:p>
    <w:p w:rsidR="00776084" w:rsidRPr="00AE53F3" w:rsidRDefault="00776084" w:rsidP="00776084">
      <w:pPr>
        <w:spacing w:before="120" w:after="120"/>
        <w:jc w:val="thaiDistribute"/>
        <w:rPr>
          <w:rFonts w:ascii="TH SarabunPSK" w:hAnsi="TH SarabunPSK" w:cs="TH SarabunPSK"/>
          <w:sz w:val="28"/>
        </w:rPr>
      </w:pPr>
      <w:r>
        <w:rPr>
          <w:rFonts w:ascii="TH SarabunPSK" w:hAnsi="TH SarabunPSK" w:cs="TH SarabunPSK"/>
          <w:sz w:val="28"/>
        </w:rPr>
        <w:t>Detail of Dividend Distribution in the past 5 years</w:t>
      </w:r>
    </w:p>
    <w:tbl>
      <w:tblPr>
        <w:tblW w:w="7780" w:type="dxa"/>
        <w:jc w:val="center"/>
        <w:tblLook w:val="04A0" w:firstRow="1" w:lastRow="0" w:firstColumn="1" w:lastColumn="0" w:noHBand="0" w:noVBand="1"/>
      </w:tblPr>
      <w:tblGrid>
        <w:gridCol w:w="1360"/>
        <w:gridCol w:w="2140"/>
        <w:gridCol w:w="2140"/>
        <w:gridCol w:w="2140"/>
      </w:tblGrid>
      <w:tr w:rsidR="00776084" w:rsidRPr="00970050" w:rsidTr="00B374A0">
        <w:trPr>
          <w:trHeight w:val="480"/>
          <w:jc w:val="center"/>
        </w:trPr>
        <w:tc>
          <w:tcPr>
            <w:tcW w:w="1360" w:type="dxa"/>
            <w:vMerge w:val="restart"/>
            <w:tcBorders>
              <w:top w:val="single" w:sz="4" w:space="0" w:color="auto"/>
              <w:left w:val="single" w:sz="4" w:space="0" w:color="auto"/>
              <w:bottom w:val="single" w:sz="4" w:space="0" w:color="000000"/>
              <w:right w:val="single" w:sz="4" w:space="0" w:color="auto"/>
            </w:tcBorders>
            <w:shd w:val="clear" w:color="auto" w:fill="B8CCE4"/>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Year</w:t>
            </w:r>
          </w:p>
        </w:tc>
        <w:tc>
          <w:tcPr>
            <w:tcW w:w="6420" w:type="dxa"/>
            <w:gridSpan w:val="3"/>
            <w:tcBorders>
              <w:top w:val="single" w:sz="4" w:space="0" w:color="auto"/>
              <w:left w:val="nil"/>
              <w:bottom w:val="single" w:sz="4" w:space="0" w:color="auto"/>
              <w:right w:val="single" w:sz="4" w:space="0" w:color="000000"/>
            </w:tcBorders>
            <w:shd w:val="clear" w:color="auto" w:fill="B8CCE4"/>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Dividend per share</w:t>
            </w:r>
          </w:p>
        </w:tc>
      </w:tr>
      <w:tr w:rsidR="00776084" w:rsidRPr="00970050" w:rsidTr="00B374A0">
        <w:trPr>
          <w:trHeight w:val="405"/>
          <w:jc w:val="center"/>
        </w:trPr>
        <w:tc>
          <w:tcPr>
            <w:tcW w:w="1360" w:type="dxa"/>
            <w:vMerge/>
            <w:tcBorders>
              <w:top w:val="single" w:sz="4" w:space="0" w:color="auto"/>
              <w:left w:val="single" w:sz="4" w:space="0" w:color="auto"/>
              <w:bottom w:val="single" w:sz="4" w:space="0" w:color="000000"/>
              <w:right w:val="single" w:sz="4" w:space="0" w:color="auto"/>
            </w:tcBorders>
            <w:shd w:val="clear" w:color="auto" w:fill="B8CCE4"/>
            <w:vAlign w:val="center"/>
            <w:hideMark/>
          </w:tcPr>
          <w:p w:rsidR="00776084" w:rsidRPr="00970050" w:rsidRDefault="00776084" w:rsidP="00B374A0">
            <w:pPr>
              <w:rPr>
                <w:rFonts w:ascii="TH SarabunPSK" w:hAnsi="TH SarabunPSK" w:cs="TH SarabunPSK"/>
                <w:b/>
                <w:bCs/>
                <w:color w:val="000000"/>
                <w:sz w:val="28"/>
              </w:rPr>
            </w:pPr>
          </w:p>
        </w:tc>
        <w:tc>
          <w:tcPr>
            <w:tcW w:w="2140" w:type="dxa"/>
            <w:tcBorders>
              <w:top w:val="nil"/>
              <w:left w:val="nil"/>
              <w:bottom w:val="nil"/>
              <w:right w:val="single" w:sz="4" w:space="0" w:color="auto"/>
            </w:tcBorders>
            <w:shd w:val="clear" w:color="auto" w:fill="B8CCE4"/>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Interim</w:t>
            </w:r>
          </w:p>
        </w:tc>
        <w:tc>
          <w:tcPr>
            <w:tcW w:w="2140" w:type="dxa"/>
            <w:tcBorders>
              <w:top w:val="nil"/>
              <w:left w:val="nil"/>
              <w:bottom w:val="nil"/>
              <w:right w:val="single" w:sz="4" w:space="0" w:color="auto"/>
            </w:tcBorders>
            <w:shd w:val="clear" w:color="auto" w:fill="B8CCE4"/>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Final</w:t>
            </w:r>
          </w:p>
        </w:tc>
        <w:tc>
          <w:tcPr>
            <w:tcW w:w="2140" w:type="dxa"/>
            <w:tcBorders>
              <w:top w:val="nil"/>
              <w:left w:val="nil"/>
              <w:bottom w:val="nil"/>
              <w:right w:val="single" w:sz="4" w:space="0" w:color="auto"/>
            </w:tcBorders>
            <w:shd w:val="clear" w:color="auto" w:fill="B8CCE4"/>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Total</w:t>
            </w:r>
          </w:p>
        </w:tc>
      </w:tr>
      <w:tr w:rsidR="00776084" w:rsidRPr="00970050" w:rsidTr="00B374A0">
        <w:trPr>
          <w:trHeight w:val="555"/>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776084" w:rsidRPr="00576C41" w:rsidRDefault="00776084" w:rsidP="00B374A0">
            <w:pPr>
              <w:jc w:val="center"/>
              <w:rPr>
                <w:rFonts w:ascii="TH SarabunPSK" w:hAnsi="TH SarabunPSK" w:cs="TH SarabunPSK"/>
                <w:b/>
                <w:bCs/>
                <w:color w:val="000000"/>
                <w:sz w:val="28"/>
              </w:rPr>
            </w:pPr>
            <w:r w:rsidRPr="00576C41">
              <w:rPr>
                <w:rFonts w:ascii="TH SarabunPSK" w:hAnsi="TH SarabunPSK" w:cs="TH SarabunPSK"/>
                <w:b/>
                <w:bCs/>
                <w:color w:val="000000"/>
                <w:sz w:val="28"/>
              </w:rPr>
              <w:t>2022</w:t>
            </w:r>
          </w:p>
        </w:tc>
        <w:tc>
          <w:tcPr>
            <w:tcW w:w="2140" w:type="dxa"/>
            <w:tcBorders>
              <w:top w:val="single" w:sz="4" w:space="0" w:color="auto"/>
              <w:left w:val="nil"/>
              <w:bottom w:val="single" w:sz="4" w:space="0" w:color="auto"/>
              <w:right w:val="single" w:sz="4" w:space="0" w:color="auto"/>
            </w:tcBorders>
            <w:shd w:val="clear" w:color="auto" w:fill="auto"/>
            <w:vAlign w:val="center"/>
          </w:tcPr>
          <w:p w:rsidR="00776084" w:rsidRPr="00576C41" w:rsidRDefault="00776084" w:rsidP="00B374A0">
            <w:pPr>
              <w:jc w:val="center"/>
              <w:rPr>
                <w:rFonts w:ascii="TH SarabunPSK" w:hAnsi="TH SarabunPSK" w:cs="TH SarabunPSK"/>
                <w:color w:val="000000"/>
                <w:sz w:val="28"/>
              </w:rPr>
            </w:pPr>
            <w:r w:rsidRPr="00576C41">
              <w:rPr>
                <w:rFonts w:ascii="TH SarabunPSK" w:hAnsi="TH SarabunPSK" w:cs="TH SarabunPSK"/>
                <w:color w:val="000000"/>
                <w:sz w:val="28"/>
              </w:rPr>
              <w:t>-</w:t>
            </w:r>
          </w:p>
        </w:tc>
        <w:tc>
          <w:tcPr>
            <w:tcW w:w="2140" w:type="dxa"/>
            <w:tcBorders>
              <w:top w:val="single" w:sz="4" w:space="0" w:color="auto"/>
              <w:left w:val="nil"/>
              <w:bottom w:val="single" w:sz="4" w:space="0" w:color="auto"/>
              <w:right w:val="single" w:sz="4" w:space="0" w:color="auto"/>
            </w:tcBorders>
            <w:shd w:val="clear" w:color="auto" w:fill="auto"/>
            <w:vAlign w:val="center"/>
          </w:tcPr>
          <w:p w:rsidR="00776084" w:rsidRPr="00576C41" w:rsidRDefault="00776084" w:rsidP="00B374A0">
            <w:pPr>
              <w:jc w:val="center"/>
              <w:rPr>
                <w:rFonts w:ascii="TH SarabunPSK" w:hAnsi="TH SarabunPSK" w:cs="TH SarabunPSK"/>
                <w:color w:val="000000"/>
                <w:sz w:val="28"/>
              </w:rPr>
            </w:pPr>
            <w:r w:rsidRPr="00576C41">
              <w:rPr>
                <w:rFonts w:ascii="TH SarabunPSK" w:hAnsi="TH SarabunPSK" w:cs="TH SarabunPSK"/>
                <w:color w:val="000000"/>
                <w:sz w:val="28"/>
              </w:rPr>
              <w:t>-</w:t>
            </w:r>
          </w:p>
        </w:tc>
        <w:tc>
          <w:tcPr>
            <w:tcW w:w="2140" w:type="dxa"/>
            <w:tcBorders>
              <w:top w:val="single" w:sz="4" w:space="0" w:color="auto"/>
              <w:left w:val="nil"/>
              <w:bottom w:val="single" w:sz="4" w:space="0" w:color="auto"/>
              <w:right w:val="single" w:sz="4" w:space="0" w:color="auto"/>
            </w:tcBorders>
            <w:shd w:val="clear" w:color="auto" w:fill="auto"/>
            <w:vAlign w:val="center"/>
          </w:tcPr>
          <w:p w:rsidR="00776084" w:rsidRPr="00576C41" w:rsidRDefault="00776084" w:rsidP="00B374A0">
            <w:pPr>
              <w:jc w:val="center"/>
              <w:rPr>
                <w:rFonts w:ascii="TH SarabunPSK" w:hAnsi="TH SarabunPSK" w:cs="TH SarabunPSK"/>
                <w:color w:val="000000"/>
                <w:sz w:val="28"/>
              </w:rPr>
            </w:pPr>
            <w:r w:rsidRPr="00576C41">
              <w:rPr>
                <w:rFonts w:ascii="TH SarabunPSK" w:hAnsi="TH SarabunPSK" w:cs="TH SarabunPSK"/>
                <w:color w:val="000000"/>
                <w:sz w:val="28"/>
              </w:rPr>
              <w:t>-</w:t>
            </w:r>
          </w:p>
        </w:tc>
      </w:tr>
      <w:tr w:rsidR="00776084" w:rsidRPr="00970050" w:rsidTr="00B374A0">
        <w:trPr>
          <w:trHeight w:val="55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2021</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r>
      <w:tr w:rsidR="00776084" w:rsidRPr="00970050" w:rsidTr="00B374A0">
        <w:trPr>
          <w:trHeight w:val="555"/>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2020</w:t>
            </w:r>
          </w:p>
        </w:tc>
        <w:tc>
          <w:tcPr>
            <w:tcW w:w="2140" w:type="dxa"/>
            <w:tcBorders>
              <w:top w:val="single" w:sz="4" w:space="0" w:color="auto"/>
              <w:left w:val="nil"/>
              <w:bottom w:val="single" w:sz="4" w:space="0" w:color="auto"/>
              <w:right w:val="single" w:sz="4" w:space="0" w:color="auto"/>
            </w:tcBorders>
            <w:shd w:val="clear" w:color="auto" w:fill="auto"/>
            <w:vAlign w:val="center"/>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single" w:sz="4" w:space="0" w:color="auto"/>
              <w:left w:val="nil"/>
              <w:bottom w:val="single" w:sz="4" w:space="0" w:color="auto"/>
              <w:right w:val="single" w:sz="4" w:space="0" w:color="auto"/>
            </w:tcBorders>
            <w:shd w:val="clear" w:color="auto" w:fill="auto"/>
            <w:vAlign w:val="center"/>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single" w:sz="4" w:space="0" w:color="auto"/>
              <w:left w:val="nil"/>
              <w:bottom w:val="single" w:sz="4" w:space="0" w:color="auto"/>
              <w:right w:val="single" w:sz="4" w:space="0" w:color="auto"/>
            </w:tcBorders>
            <w:shd w:val="clear" w:color="auto" w:fill="auto"/>
            <w:vAlign w:val="center"/>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r>
      <w:tr w:rsidR="00776084" w:rsidRPr="00970050" w:rsidTr="00B374A0">
        <w:trPr>
          <w:trHeight w:val="55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2019</w:t>
            </w:r>
          </w:p>
        </w:tc>
        <w:tc>
          <w:tcPr>
            <w:tcW w:w="2140" w:type="dxa"/>
            <w:tcBorders>
              <w:top w:val="nil"/>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0.205</w:t>
            </w:r>
          </w:p>
        </w:tc>
        <w:tc>
          <w:tcPr>
            <w:tcW w:w="2140" w:type="dxa"/>
            <w:tcBorders>
              <w:top w:val="nil"/>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nil"/>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0.205</w:t>
            </w:r>
          </w:p>
        </w:tc>
      </w:tr>
      <w:tr w:rsidR="00776084" w:rsidRPr="00970050" w:rsidTr="00B374A0">
        <w:trPr>
          <w:trHeight w:val="55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76084" w:rsidRPr="00970050" w:rsidRDefault="00776084" w:rsidP="00B374A0">
            <w:pPr>
              <w:jc w:val="center"/>
              <w:rPr>
                <w:rFonts w:ascii="TH SarabunPSK" w:hAnsi="TH SarabunPSK" w:cs="TH SarabunPSK"/>
                <w:b/>
                <w:bCs/>
                <w:color w:val="000000"/>
                <w:sz w:val="28"/>
              </w:rPr>
            </w:pPr>
            <w:r>
              <w:rPr>
                <w:rFonts w:ascii="TH SarabunPSK" w:hAnsi="TH SarabunPSK" w:cs="TH SarabunPSK"/>
                <w:b/>
                <w:bCs/>
                <w:color w:val="000000"/>
                <w:sz w:val="28"/>
              </w:rPr>
              <w:t>2018</w:t>
            </w:r>
          </w:p>
        </w:tc>
        <w:tc>
          <w:tcPr>
            <w:tcW w:w="2140" w:type="dxa"/>
            <w:tcBorders>
              <w:top w:val="nil"/>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nil"/>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c>
          <w:tcPr>
            <w:tcW w:w="2140" w:type="dxa"/>
            <w:tcBorders>
              <w:top w:val="nil"/>
              <w:left w:val="nil"/>
              <w:bottom w:val="single" w:sz="4" w:space="0" w:color="auto"/>
              <w:right w:val="single" w:sz="4" w:space="0" w:color="auto"/>
            </w:tcBorders>
            <w:shd w:val="clear" w:color="auto" w:fill="auto"/>
            <w:vAlign w:val="center"/>
            <w:hideMark/>
          </w:tcPr>
          <w:p w:rsidR="00776084" w:rsidRPr="00970050" w:rsidRDefault="00776084" w:rsidP="00B374A0">
            <w:pPr>
              <w:jc w:val="center"/>
              <w:rPr>
                <w:rFonts w:ascii="TH SarabunPSK" w:hAnsi="TH SarabunPSK" w:cs="TH SarabunPSK"/>
                <w:color w:val="000000"/>
                <w:sz w:val="28"/>
              </w:rPr>
            </w:pPr>
            <w:r w:rsidRPr="00970050">
              <w:rPr>
                <w:rFonts w:ascii="TH SarabunPSK" w:hAnsi="TH SarabunPSK" w:cs="TH SarabunPSK"/>
                <w:color w:val="000000"/>
                <w:sz w:val="28"/>
              </w:rPr>
              <w:t>-</w:t>
            </w:r>
          </w:p>
        </w:tc>
      </w:tr>
    </w:tbl>
    <w:p w:rsidR="001D1CB6" w:rsidRDefault="001D1CB6" w:rsidP="001D1CB6"/>
    <w:sectPr w:rsidR="001D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B6"/>
    <w:rsid w:val="001D1CB6"/>
    <w:rsid w:val="00776084"/>
    <w:rsid w:val="009F64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D4F5-8AB5-4AF5-8315-F735A123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Warunee Khamchai</dc:creator>
  <cp:keywords/>
  <dc:description/>
  <cp:lastModifiedBy>Warunee Khamchai</cp:lastModifiedBy>
  <cp:revision>2</cp:revision>
  <dcterms:created xsi:type="dcterms:W3CDTF">2024-02-16T09:18:00Z</dcterms:created>
  <dcterms:modified xsi:type="dcterms:W3CDTF">2024-02-16T09:31:00Z</dcterms:modified>
</cp:coreProperties>
</file>