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31E" w:rsidRDefault="00DE48C4" w:rsidP="00C3740F">
      <w:pPr>
        <w:jc w:val="both"/>
        <w:rPr>
          <w:b/>
        </w:rPr>
      </w:pPr>
      <w:r>
        <w:rPr>
          <w:b/>
        </w:rPr>
        <w:t>Methods</w:t>
      </w:r>
    </w:p>
    <w:p w:rsidR="00D108A9" w:rsidRPr="00D108A9" w:rsidRDefault="00D108A9" w:rsidP="00C3740F">
      <w:pPr>
        <w:jc w:val="both"/>
        <w:rPr>
          <w:b/>
          <w:i/>
        </w:rPr>
      </w:pPr>
      <w:r>
        <w:rPr>
          <w:b/>
          <w:i/>
        </w:rPr>
        <w:t>Data</w:t>
      </w:r>
    </w:p>
    <w:p w:rsidR="00D108A9" w:rsidRDefault="001A09CA" w:rsidP="00C3740F">
      <w:pPr>
        <w:jc w:val="both"/>
      </w:pPr>
      <w:r>
        <w:t xml:space="preserve">The data </w:t>
      </w:r>
      <w:r w:rsidR="00DE48C4">
        <w:t>for this study</w:t>
      </w:r>
      <w:r w:rsidR="00672A4B">
        <w:t xml:space="preserve"> c</w:t>
      </w:r>
      <w:r w:rsidR="00D108A9">
        <w:t>ame</w:t>
      </w:r>
      <w:r w:rsidR="00DE48C4">
        <w:t xml:space="preserve"> from the 2017 </w:t>
      </w:r>
      <w:r w:rsidR="00672A4B">
        <w:t xml:space="preserve">multiple </w:t>
      </w:r>
      <w:r w:rsidR="00DE48C4">
        <w:t>cause-of-death</w:t>
      </w:r>
      <w:r w:rsidR="0062703E">
        <w:t xml:space="preserve"> </w:t>
      </w:r>
      <w:r w:rsidR="00FC41F1">
        <w:t xml:space="preserve">data file which was </w:t>
      </w:r>
      <w:r>
        <w:t>retrieved from the CDC’s Vital Statistics Online Data Portal</w:t>
      </w:r>
      <w:r w:rsidR="009822A5">
        <w:t>.</w:t>
      </w:r>
      <w:r w:rsidR="00DE48C4">
        <w:t xml:space="preserve"> </w:t>
      </w:r>
      <w:r w:rsidR="00D108A9">
        <w:t>Our study examined</w:t>
      </w:r>
      <w:r w:rsidR="00FC41F1">
        <w:t xml:space="preserve"> deaths from falls among older adults so only</w:t>
      </w:r>
      <w:r>
        <w:t xml:space="preserve"> </w:t>
      </w:r>
      <w:r w:rsidR="00672A4B">
        <w:t xml:space="preserve">individuals </w:t>
      </w:r>
      <w:r>
        <w:t xml:space="preserve">who were </w:t>
      </w:r>
      <w:r w:rsidR="009822A5">
        <w:t>65 years and older</w:t>
      </w:r>
      <w:r>
        <w:t xml:space="preserve"> were included in the study</w:t>
      </w:r>
      <w:r w:rsidR="009822A5">
        <w:t xml:space="preserve">. </w:t>
      </w:r>
      <w:r w:rsidR="00D108A9">
        <w:t xml:space="preserve">We identified individuals whose underlying cause of death was from </w:t>
      </w:r>
      <w:r w:rsidR="00D13D5A">
        <w:t>falling using the</w:t>
      </w:r>
      <w:r w:rsidR="00D108A9">
        <w:t xml:space="preserve"> </w:t>
      </w:r>
      <w:r w:rsidR="00D108A9">
        <w:rPr>
          <w:i/>
        </w:rPr>
        <w:t>International Classification of Diseases, 10</w:t>
      </w:r>
      <w:r w:rsidR="00D108A9" w:rsidRPr="00D108A9">
        <w:rPr>
          <w:i/>
          <w:vertAlign w:val="superscript"/>
        </w:rPr>
        <w:t>th</w:t>
      </w:r>
      <w:r w:rsidR="00D108A9">
        <w:rPr>
          <w:i/>
        </w:rPr>
        <w:t xml:space="preserve"> Revision (ICD-10)</w:t>
      </w:r>
      <w:r w:rsidR="00D108A9">
        <w:t xml:space="preserve"> codes W00-W19. Altogether, there were 2,070,371 subjects included in the study of which 31,244 died from falls. </w:t>
      </w:r>
      <w:r w:rsidR="00FC41F1">
        <w:t xml:space="preserve">In </w:t>
      </w:r>
      <w:r w:rsidR="00D108A9">
        <w:t xml:space="preserve">addition to reporting the underlying cause of death, </w:t>
      </w:r>
      <w:r w:rsidR="00FC41F1">
        <w:t>the multiple cause-of-death datasets</w:t>
      </w:r>
      <w:r w:rsidR="00D108A9">
        <w:t xml:space="preserve"> includes </w:t>
      </w:r>
      <w:r w:rsidR="0062703E">
        <w:t>up to 20 other contributing causes of death</w:t>
      </w:r>
      <w:r w:rsidR="00C44669">
        <w:t xml:space="preserve"> labelled with </w:t>
      </w:r>
      <w:r w:rsidR="00C44669" w:rsidRPr="009A1F24">
        <w:rPr>
          <w:i/>
        </w:rPr>
        <w:t>ICD-10</w:t>
      </w:r>
      <w:r w:rsidR="00C44669">
        <w:t xml:space="preserve"> codes</w:t>
      </w:r>
      <w:r w:rsidR="0062703E">
        <w:t xml:space="preserve">. </w:t>
      </w:r>
    </w:p>
    <w:p w:rsidR="009A1F24" w:rsidRPr="00C3740F" w:rsidRDefault="009A1F24" w:rsidP="00C3740F">
      <w:pPr>
        <w:jc w:val="both"/>
      </w:pPr>
      <w:r>
        <w:t xml:space="preserve">All </w:t>
      </w:r>
      <w:r>
        <w:rPr>
          <w:i/>
        </w:rPr>
        <w:t xml:space="preserve">ICD-10 </w:t>
      </w:r>
      <w:r>
        <w:t xml:space="preserve">codes in the multiple mortality dataset were recorded up to four digits. We used a hierarchical </w:t>
      </w:r>
      <w:r>
        <w:rPr>
          <w:i/>
        </w:rPr>
        <w:t xml:space="preserve">ICD-10 </w:t>
      </w:r>
      <w:r>
        <w:t xml:space="preserve">dataset to link disease codes to their disease descriptions as well as their </w:t>
      </w:r>
      <w:r>
        <w:t>three-digit</w:t>
      </w:r>
      <w:r>
        <w:t xml:space="preserve"> </w:t>
      </w:r>
      <w:r>
        <w:rPr>
          <w:i/>
        </w:rPr>
        <w:t xml:space="preserve">ICD-10 </w:t>
      </w:r>
      <w:r>
        <w:t>codes</w:t>
      </w:r>
      <w:r>
        <w:t>, sub</w:t>
      </w:r>
      <w:r w:rsidR="00C3740F">
        <w:t>-</w:t>
      </w:r>
      <w:r>
        <w:t>chapter</w:t>
      </w:r>
      <w:r>
        <w:t>s</w:t>
      </w:r>
      <w:r>
        <w:t>, and chapter groups</w:t>
      </w:r>
      <w:r>
        <w:t xml:space="preserve">. This dataset was taken from the </w:t>
      </w:r>
      <w:r w:rsidR="00EF0F8E">
        <w:t>‘</w:t>
      </w:r>
      <w:r>
        <w:rPr>
          <w:i/>
        </w:rPr>
        <w:t>icd</w:t>
      </w:r>
      <w:r w:rsidR="00EF0F8E">
        <w:rPr>
          <w:i/>
        </w:rPr>
        <w:t>’</w:t>
      </w:r>
      <w:r>
        <w:t xml:space="preserve"> package in </w:t>
      </w:r>
      <w:r w:rsidRPr="009A1F24">
        <w:rPr>
          <w:i/>
        </w:rPr>
        <w:t>R</w:t>
      </w:r>
      <w:r>
        <w:t xml:space="preserve"> and then updated to include any missing </w:t>
      </w:r>
      <w:r>
        <w:rPr>
          <w:i/>
        </w:rPr>
        <w:t>ICD-10</w:t>
      </w:r>
      <w:r>
        <w:t xml:space="preserve"> codes or descriptions. </w:t>
      </w:r>
      <w:r w:rsidR="00C569C0">
        <w:t xml:space="preserve">The hierarchical dataset </w:t>
      </w:r>
      <w:r w:rsidR="003312E7">
        <w:t>allowed us to aggregate</w:t>
      </w:r>
      <w:r w:rsidR="00EF0F8E">
        <w:t xml:space="preserve"> four digit codes into three-digit codes or sub</w:t>
      </w:r>
      <w:r w:rsidR="00C3740F">
        <w:t>-chapter groups</w:t>
      </w:r>
      <w:r w:rsidR="00EF0F8E">
        <w:t xml:space="preserve">. For example, </w:t>
      </w:r>
      <w:r w:rsidR="00C3740F">
        <w:t xml:space="preserve">the three-digit </w:t>
      </w:r>
      <w:r w:rsidR="00C3740F">
        <w:rPr>
          <w:i/>
        </w:rPr>
        <w:t>ICD-10</w:t>
      </w:r>
      <w:r w:rsidR="00C3740F">
        <w:t xml:space="preserve"> code ‘E14’ indicates unspecified diabetes mellitus and a further digit (0-9) is added to specify the type of diabetes mellitus. Moreover, ‘E14’ falls under ‘E10-E14’ which is a sub-chapter group that encompasses all codes for diabetes mellitus. A code such as ‘E149’ would then aggregate into ‘E14’ or ‘E10-E14’.  </w:t>
      </w:r>
    </w:p>
    <w:p w:rsidR="009A1F24" w:rsidRPr="009A1F24" w:rsidRDefault="009A1F24" w:rsidP="00C3740F">
      <w:pPr>
        <w:jc w:val="both"/>
        <w:rPr>
          <w:b/>
        </w:rPr>
      </w:pPr>
      <w:r>
        <w:rPr>
          <w:b/>
          <w:i/>
        </w:rPr>
        <w:t>Measures of Association</w:t>
      </w:r>
    </w:p>
    <w:p w:rsidR="009A1F24" w:rsidRDefault="009822A5" w:rsidP="00C3740F">
      <w:pPr>
        <w:jc w:val="both"/>
      </w:pPr>
      <w:r>
        <w:t xml:space="preserve">The co-occurrence of </w:t>
      </w:r>
      <w:r w:rsidR="00467451">
        <w:t xml:space="preserve">diseases </w:t>
      </w:r>
      <w:r w:rsidR="00672A4B">
        <w:t xml:space="preserve">and conditions </w:t>
      </w:r>
      <w:r w:rsidR="008216A2">
        <w:t xml:space="preserve">associated with death from falls </w:t>
      </w:r>
      <w:r w:rsidR="00672A4B">
        <w:t xml:space="preserve">were </w:t>
      </w:r>
      <w:r w:rsidR="009A1F24">
        <w:t>measured</w:t>
      </w:r>
      <w:r w:rsidR="00672A4B">
        <w:t xml:space="preserve"> through proportionate mortality ratios (PMRs) </w:t>
      </w:r>
      <w:r w:rsidR="009A1F24">
        <w:t>with 95% confidence intervals (CI) and</w:t>
      </w:r>
      <w:r w:rsidR="00672A4B">
        <w:t xml:space="preserve"> population attributable risks (PARs), </w:t>
      </w:r>
      <w:r w:rsidR="009A1F24">
        <w:t xml:space="preserve">assuming </w:t>
      </w:r>
      <w:r w:rsidR="00672A4B">
        <w:t>that the mortality data follows a Poisson distribution.</w:t>
      </w:r>
      <w:r w:rsidR="009A1F24">
        <w:t xml:space="preserve"> To compute </w:t>
      </w:r>
      <w:r w:rsidR="005007F0">
        <w:t xml:space="preserve">sex and age </w:t>
      </w:r>
      <w:r w:rsidR="009A1F24">
        <w:t>adjusted PMRs, w</w:t>
      </w:r>
      <w:r w:rsidR="00CA7829">
        <w:t xml:space="preserve">e stratified the dataset by </w:t>
      </w:r>
      <w:r w:rsidR="009A1F24">
        <w:t>age group and sex</w:t>
      </w:r>
      <w:r w:rsidR="00CA7829">
        <w:t xml:space="preserve"> </w:t>
      </w:r>
      <w:r w:rsidR="005007F0">
        <w:t xml:space="preserve">before calculating the </w:t>
      </w:r>
      <w:r w:rsidR="00CA7829">
        <w:t xml:space="preserve">observed and expected values </w:t>
      </w:r>
      <w:r w:rsidR="009A1F24">
        <w:t xml:space="preserve">of each </w:t>
      </w:r>
      <w:r w:rsidR="009A1F24">
        <w:rPr>
          <w:i/>
        </w:rPr>
        <w:t xml:space="preserve">ICD-10 </w:t>
      </w:r>
      <w:r w:rsidR="003312E7">
        <w:t>code</w:t>
      </w:r>
      <w:r w:rsidR="009A1F24">
        <w:t xml:space="preserve">. </w:t>
      </w:r>
      <w:r w:rsidR="00EF0F8E">
        <w:t>In total</w:t>
      </w:r>
      <w:r w:rsidR="009A1F24">
        <w:t xml:space="preserve">, there were 12 </w:t>
      </w:r>
      <w:r w:rsidR="003312E7">
        <w:t xml:space="preserve">stratified </w:t>
      </w:r>
      <w:r w:rsidR="009A1F24">
        <w:t>groups between two sexes and six age groups.</w:t>
      </w:r>
      <w:r w:rsidR="00EF0F8E">
        <w:t xml:space="preserve"> The observed and expected values were summed </w:t>
      </w:r>
      <w:r w:rsidR="005007F0">
        <w:t xml:space="preserve">across groups </w:t>
      </w:r>
      <w:r w:rsidR="00EF0F8E">
        <w:t xml:space="preserve">by gender </w:t>
      </w:r>
      <w:r w:rsidR="005007F0">
        <w:t>for</w:t>
      </w:r>
      <w:r w:rsidR="00EF0F8E">
        <w:t xml:space="preserve"> sex-adjusted PMRs, and then all </w:t>
      </w:r>
      <w:r w:rsidR="005007F0">
        <w:t>groups</w:t>
      </w:r>
      <w:r w:rsidR="00EF0F8E">
        <w:t xml:space="preserve"> were summed for the overall age-sex-adjusted PMRs. The following equation summarizes the PMR calculations:</w:t>
      </w:r>
    </w:p>
    <w:p w:rsidR="009A1F24" w:rsidRPr="009A1F24" w:rsidRDefault="009A1F24" w:rsidP="00920BC5">
      <w:pPr>
        <w:ind w:left="1890"/>
        <w:jc w:val="both"/>
      </w:pPr>
      <m:oMathPara>
        <m:oMath>
          <m:r>
            <w:rPr>
              <w:rFonts w:ascii="Cambria Math" w:hAnsi="Cambria Math"/>
            </w:rPr>
            <m:t>PMR=</m:t>
          </m:r>
          <m:f>
            <m:fPr>
              <m:ctrlPr>
                <w:rPr>
                  <w:rFonts w:ascii="Cambria Math" w:hAnsi="Cambria Math"/>
                  <w:i/>
                </w:rPr>
              </m:ctrlPr>
            </m:fPr>
            <m:num>
              <m:r>
                <w:rPr>
                  <w:rFonts w:ascii="Cambria Math" w:hAnsi="Cambria Math"/>
                </w:rPr>
                <m:t>Observed</m:t>
              </m:r>
            </m:num>
            <m:den>
              <m:r>
                <w:rPr>
                  <w:rFonts w:ascii="Cambria Math" w:hAnsi="Cambria Math"/>
                </w:rPr>
                <m:t>Expected</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A=1</m:t>
                  </m:r>
                </m:sub>
                <m:sup/>
                <m:e>
                  <m:sSubSup>
                    <m:sSubSupPr>
                      <m:ctrlPr>
                        <w:rPr>
                          <w:rFonts w:ascii="Cambria Math" w:hAnsi="Cambria Math"/>
                          <w:i/>
                        </w:rPr>
                      </m:ctrlPr>
                    </m:sSubSupPr>
                    <m:e>
                      <m:r>
                        <w:rPr>
                          <w:rFonts w:ascii="Cambria Math" w:hAnsi="Cambria Math"/>
                        </w:rPr>
                        <m:t>N</m:t>
                      </m:r>
                    </m:e>
                    <m:sub>
                      <m:r>
                        <w:rPr>
                          <w:rFonts w:ascii="Cambria Math" w:hAnsi="Cambria Math"/>
                        </w:rPr>
                        <m:t>C, falls</m:t>
                      </m:r>
                    </m:sub>
                    <m:sup>
                      <m:r>
                        <w:rPr>
                          <w:rFonts w:ascii="Cambria Math" w:hAnsi="Cambria Math"/>
                        </w:rPr>
                        <m:t>A</m:t>
                      </m:r>
                    </m:sup>
                  </m:sSubSup>
                </m:e>
              </m:nary>
            </m:num>
            <m:den>
              <m:nary>
                <m:naryPr>
                  <m:chr m:val="∑"/>
                  <m:limLoc m:val="undOvr"/>
                  <m:supHide m:val="1"/>
                  <m:ctrlPr>
                    <w:rPr>
                      <w:rFonts w:ascii="Cambria Math" w:hAnsi="Cambria Math"/>
                      <w:i/>
                    </w:rPr>
                  </m:ctrlPr>
                </m:naryPr>
                <m:sub>
                  <m:r>
                    <w:rPr>
                      <w:rFonts w:ascii="Cambria Math" w:hAnsi="Cambria Math"/>
                    </w:rPr>
                    <m:t>A=1</m:t>
                  </m:r>
                </m:sub>
                <m:sup/>
                <m:e>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falls</m:t>
                      </m:r>
                    </m:sub>
                    <m:sup>
                      <m:r>
                        <w:rPr>
                          <w:rFonts w:ascii="Cambria Math" w:hAnsi="Cambria Math"/>
                        </w:rPr>
                        <m:t>A</m:t>
                      </m:r>
                    </m:sup>
                  </m:sSubSup>
                </m:e>
              </m:nary>
            </m:den>
          </m:f>
          <m:r>
            <w:rPr>
              <w:rFonts w:ascii="Cambria Math" w:hAnsi="Cambria Math"/>
            </w:rPr>
            <m:t xml:space="preserve">                                   (1)</m:t>
          </m:r>
        </m:oMath>
      </m:oMathPara>
    </w:p>
    <w:p w:rsidR="009A1F24" w:rsidRDefault="009A1F24" w:rsidP="00C3740F">
      <w:pPr>
        <w:jc w:val="both"/>
      </w:pPr>
      <m:oMath>
        <m:sSubSup>
          <m:sSubSupPr>
            <m:ctrlPr>
              <w:rPr>
                <w:rFonts w:ascii="Cambria Math" w:hAnsi="Cambria Math"/>
                <w:i/>
              </w:rPr>
            </m:ctrlPr>
          </m:sSubSupPr>
          <m:e>
            <m:r>
              <w:rPr>
                <w:rFonts w:ascii="Cambria Math" w:hAnsi="Cambria Math"/>
              </w:rPr>
              <m:t>N</m:t>
            </m:r>
          </m:e>
          <m:sub>
            <m:r>
              <w:rPr>
                <w:rFonts w:ascii="Cambria Math" w:hAnsi="Cambria Math"/>
              </w:rPr>
              <m:t>C, falls</m:t>
            </m:r>
          </m:sub>
          <m:sup>
            <m:r>
              <w:rPr>
                <w:rFonts w:ascii="Cambria Math" w:hAnsi="Cambria Math"/>
              </w:rPr>
              <m:t>A</m:t>
            </m:r>
          </m:sup>
        </m:sSubSup>
      </m:oMath>
      <w:r>
        <w:t xml:space="preserve"> </w:t>
      </w:r>
      <w:proofErr w:type="gramStart"/>
      <w:r>
        <w:t>is</w:t>
      </w:r>
      <w:proofErr w:type="gramEnd"/>
      <w:r>
        <w:t xml:space="preserve"> the number of individuals in Group A who </w:t>
      </w:r>
      <w:r w:rsidR="00045C93">
        <w:t xml:space="preserve">had condition C given </w:t>
      </w:r>
      <w:r w:rsidR="003312E7">
        <w:t xml:space="preserve">that </w:t>
      </w:r>
      <w:r w:rsidR="00045C93">
        <w:t>they died from falls</w:t>
      </w:r>
      <w:r>
        <w:t xml:space="preserve">. The expected value is calculated from </w:t>
      </w:r>
      <m:oMath>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A</m:t>
            </m:r>
          </m:sup>
        </m:sSubSup>
      </m:oMath>
      <w:r>
        <w:t xml:space="preserve">, the prevalence of condition C in Group A, and </w:t>
      </w:r>
      <m:oMath>
        <m:sSub>
          <m:sSubPr>
            <m:ctrlPr>
              <w:rPr>
                <w:rFonts w:ascii="Cambria Math" w:hAnsi="Cambria Math"/>
                <w:i/>
              </w:rPr>
            </m:ctrlPr>
          </m:sSubPr>
          <m:e>
            <m:r>
              <w:rPr>
                <w:rFonts w:ascii="Cambria Math" w:hAnsi="Cambria Math"/>
              </w:rPr>
              <m:t>N</m:t>
            </m:r>
          </m:e>
          <m:sub>
            <m:r>
              <w:rPr>
                <w:rFonts w:ascii="Cambria Math" w:hAnsi="Cambria Math"/>
              </w:rPr>
              <m:t>falls</m:t>
            </m:r>
          </m:sub>
        </m:sSub>
      </m:oMath>
      <w:r>
        <w:t xml:space="preserve"> which is the total number of individuals who died from falls in Group A.</w:t>
      </w:r>
    </w:p>
    <w:p w:rsidR="009A1F24" w:rsidRDefault="009A1F24" w:rsidP="00C3740F">
      <w:pPr>
        <w:jc w:val="both"/>
      </w:pPr>
      <w:r>
        <w:t xml:space="preserve">The PAR was calculated </w:t>
      </w:r>
      <w:r w:rsidR="00C3740F">
        <w:t>using the PMR as following</w:t>
      </w:r>
      <w:r>
        <w:t>:</w:t>
      </w:r>
    </w:p>
    <w:p w:rsidR="009A1F24" w:rsidRPr="009A1F24" w:rsidRDefault="009A1F24" w:rsidP="00920BC5">
      <w:pPr>
        <w:ind w:left="1980"/>
        <w:jc w:val="both"/>
      </w:pPr>
      <m:oMathPara>
        <m:oMath>
          <m:r>
            <w:rPr>
              <w:rFonts w:ascii="Cambria Math" w:hAnsi="Cambria Math"/>
            </w:rPr>
            <m:t>PAR=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1-PMR</m:t>
                  </m:r>
                </m:e>
              </m:d>
            </m:num>
            <m:den>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1-PMR</m:t>
                  </m:r>
                </m:e>
              </m:d>
              <m:r>
                <w:rPr>
                  <w:rFonts w:ascii="Cambria Math" w:hAnsi="Cambria Math"/>
                </w:rPr>
                <m:t>+1</m:t>
              </m:r>
            </m:den>
          </m:f>
          <m:r>
            <w:rPr>
              <w:rFonts w:ascii="Cambria Math" w:hAnsi="Cambria Math"/>
            </w:rPr>
            <m:t>×100</m:t>
          </m:r>
          <m:r>
            <w:rPr>
              <w:rFonts w:ascii="Cambria Math" w:hAnsi="Cambria Math"/>
            </w:rPr>
            <m:t xml:space="preserve">                                        (2)</m:t>
          </m:r>
        </m:oMath>
      </m:oMathPara>
    </w:p>
    <w:p w:rsidR="00025A76" w:rsidRPr="00025A76" w:rsidRDefault="009A1F24" w:rsidP="00C3740F">
      <w:pPr>
        <w:jc w:val="both"/>
      </w:pPr>
      <w:r>
        <w:t xml:space="preserve">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prevalence of condition C among all individuals who died in 2017 that were 65 years and older.</w:t>
      </w:r>
      <w:r w:rsidR="00EF0F8E">
        <w:t xml:space="preserve"> These calculations were repeated for aggregated three-digit </w:t>
      </w:r>
      <w:r w:rsidR="00EF0F8E">
        <w:rPr>
          <w:i/>
        </w:rPr>
        <w:t xml:space="preserve">ICD-10 </w:t>
      </w:r>
      <w:r w:rsidR="00EF0F8E">
        <w:t xml:space="preserve">codes and </w:t>
      </w:r>
      <w:r w:rsidR="00EF0F8E">
        <w:rPr>
          <w:i/>
        </w:rPr>
        <w:t xml:space="preserve">ICD-10 </w:t>
      </w:r>
      <w:r w:rsidR="00EF0F8E">
        <w:t>subgroups.</w:t>
      </w:r>
      <w:r w:rsidR="00025A76">
        <w:t xml:space="preserve">  </w:t>
      </w:r>
      <w:r w:rsidR="00025A76">
        <w:rPr>
          <w:i/>
        </w:rPr>
        <w:t xml:space="preserve">ICD-10 </w:t>
      </w:r>
      <w:r w:rsidR="00025A76">
        <w:t xml:space="preserve">codes S00-S99 and T00-T19 were included in calculations but omitted from the final PAR tables because they encompassed injuries that were a result from falling. </w:t>
      </w:r>
    </w:p>
    <w:p w:rsidR="00C3740F" w:rsidRDefault="00C3740F" w:rsidP="00C3740F">
      <w:pPr>
        <w:jc w:val="both"/>
        <w:rPr>
          <w:b/>
          <w:i/>
        </w:rPr>
      </w:pPr>
    </w:p>
    <w:p w:rsidR="009A1F24" w:rsidRDefault="009A1F24" w:rsidP="00C3740F">
      <w:pPr>
        <w:jc w:val="both"/>
        <w:rPr>
          <w:b/>
          <w:i/>
        </w:rPr>
      </w:pPr>
      <w:r>
        <w:rPr>
          <w:b/>
          <w:i/>
        </w:rPr>
        <w:t>Conditional Pairs</w:t>
      </w:r>
    </w:p>
    <w:p w:rsidR="00C3740F" w:rsidRPr="00C3740F" w:rsidRDefault="00432AFE" w:rsidP="00C3740F">
      <w:pPr>
        <w:jc w:val="both"/>
      </w:pPr>
      <w:r>
        <w:t xml:space="preserve">The </w:t>
      </w:r>
      <w:r w:rsidR="0092123D">
        <w:t>multiple cause-of-death dataset lists</w:t>
      </w:r>
      <w:bookmarkStart w:id="0" w:name="_GoBack"/>
      <w:bookmarkEnd w:id="0"/>
      <w:r w:rsidR="0092123D">
        <w:t xml:space="preserve"> up to 20 contributing causes of death which co-occur in the same individual</w:t>
      </w:r>
      <w:r w:rsidR="00C3740F">
        <w:t>.</w:t>
      </w:r>
      <w:r w:rsidR="0092123D">
        <w:t xml:space="preserve"> Our goal was to quantify the relationship between pairs of diseases or conditions that regularly occurred across individuals who died from falls. The previous measures of associations that were calculated for single </w:t>
      </w:r>
      <w:r w:rsidR="0092123D">
        <w:rPr>
          <w:i/>
        </w:rPr>
        <w:t xml:space="preserve">ICD-10 </w:t>
      </w:r>
      <w:r w:rsidR="0092123D">
        <w:t xml:space="preserve">codes </w:t>
      </w:r>
      <w:r>
        <w:t>were adapted for use in</w:t>
      </w:r>
      <w:r w:rsidR="0092123D">
        <w:t xml:space="preserve"> conditional pairs</w:t>
      </w:r>
      <w:r w:rsidR="00BA3E49">
        <w:t xml:space="preserve">. </w:t>
      </w:r>
      <w:r w:rsidR="0092123D">
        <w:t xml:space="preserve">PMRs were calculated with the following equation: </w:t>
      </w:r>
      <w:r w:rsidR="00C3740F">
        <w:t xml:space="preserve"> </w:t>
      </w:r>
    </w:p>
    <w:p w:rsidR="0092123D" w:rsidRPr="009A1F24" w:rsidRDefault="0092123D" w:rsidP="00920BC5">
      <w:pPr>
        <w:ind w:left="1800"/>
        <w:jc w:val="both"/>
      </w:pPr>
      <m:oMathPara>
        <m:oMath>
          <m:r>
            <w:rPr>
              <w:rFonts w:ascii="Cambria Math" w:hAnsi="Cambria Math"/>
            </w:rPr>
            <m:t>PM</m:t>
          </m:r>
          <m:sSub>
            <m:sSubPr>
              <m:ctrlPr>
                <w:rPr>
                  <w:rFonts w:ascii="Cambria Math" w:hAnsi="Cambria Math"/>
                  <w:i/>
                </w:rPr>
              </m:ctrlPr>
            </m:sSubPr>
            <m:e>
              <m:r>
                <w:rPr>
                  <w:rFonts w:ascii="Cambria Math" w:hAnsi="Cambria Math"/>
                </w:rPr>
                <m:t>R</m:t>
              </m:r>
            </m:e>
            <m:sub>
              <m:r>
                <w:rPr>
                  <w:rFonts w:ascii="Cambria Math" w:hAnsi="Cambria Math"/>
                </w:rPr>
                <m:t>C1,C2</m:t>
              </m:r>
            </m:sub>
          </m:sSub>
          <m:r>
            <w:rPr>
              <w:rFonts w:ascii="Cambria Math" w:hAnsi="Cambria Math"/>
            </w:rPr>
            <m:t>=</m:t>
          </m:r>
          <m:f>
            <m:fPr>
              <m:ctrlPr>
                <w:rPr>
                  <w:rFonts w:ascii="Cambria Math" w:hAnsi="Cambria Math"/>
                  <w:i/>
                </w:rPr>
              </m:ctrlPr>
            </m:fPr>
            <m:num>
              <m:r>
                <w:rPr>
                  <w:rFonts w:ascii="Cambria Math" w:hAnsi="Cambria Math"/>
                </w:rPr>
                <m:t>Observed</m:t>
              </m:r>
            </m:num>
            <m:den>
              <m:r>
                <w:rPr>
                  <w:rFonts w:ascii="Cambria Math" w:hAnsi="Cambria Math"/>
                </w:rPr>
                <m:t>Expected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C1, C2,falls</m:t>
                  </m:r>
                </m:sub>
              </m:sSub>
            </m:num>
            <m:den>
              <m:sSub>
                <m:sSubPr>
                  <m:ctrlPr>
                    <w:rPr>
                      <w:rFonts w:ascii="Cambria Math" w:hAnsi="Cambria Math"/>
                      <w:i/>
                    </w:rPr>
                  </m:ctrlPr>
                </m:sSubPr>
                <m:e>
                  <m:r>
                    <w:rPr>
                      <w:rFonts w:ascii="Cambria Math" w:hAnsi="Cambria Math"/>
                    </w:rPr>
                    <m:t>P</m:t>
                  </m:r>
                </m:e>
                <m:sub>
                  <m:r>
                    <w:rPr>
                      <w:rFonts w:ascii="Cambria Math" w:hAnsi="Cambria Math"/>
                    </w:rPr>
                    <m:t>C1,C2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falls</m:t>
                  </m:r>
                </m:sub>
              </m:sSub>
            </m:den>
          </m:f>
          <m:r>
            <w:rPr>
              <w:rFonts w:ascii="Cambria Math" w:hAnsi="Cambria Math"/>
            </w:rPr>
            <m:t xml:space="preserve">                               (3)</m:t>
          </m:r>
        </m:oMath>
      </m:oMathPara>
    </w:p>
    <w:p w:rsidR="009A1F24" w:rsidRDefault="0092123D" w:rsidP="00C3740F">
      <w:pPr>
        <w:jc w:val="both"/>
      </w:pPr>
      <m:oMath>
        <m:sSub>
          <m:sSubPr>
            <m:ctrlPr>
              <w:rPr>
                <w:rFonts w:ascii="Cambria Math" w:hAnsi="Cambria Math"/>
                <w:i/>
              </w:rPr>
            </m:ctrlPr>
          </m:sSubPr>
          <m:e>
            <m:r>
              <w:rPr>
                <w:rFonts w:ascii="Cambria Math" w:hAnsi="Cambria Math"/>
              </w:rPr>
              <m:t>N</m:t>
            </m:r>
          </m:e>
          <m:sub>
            <m:r>
              <w:rPr>
                <w:rFonts w:ascii="Cambria Math" w:hAnsi="Cambria Math"/>
              </w:rPr>
              <m:t>C1, C2,falls</m:t>
            </m:r>
          </m:sub>
        </m:sSub>
      </m:oMath>
      <w:r>
        <w:t xml:space="preserve"> </w:t>
      </w:r>
      <w:proofErr w:type="gramStart"/>
      <w:r>
        <w:t>is</w:t>
      </w:r>
      <w:proofErr w:type="gramEnd"/>
      <w:r>
        <w:t xml:space="preserve"> the number of individuals with condition 1 and condition 2 who died from falls. </w:t>
      </w:r>
      <m:oMath>
        <m:sSub>
          <m:sSubPr>
            <m:ctrlPr>
              <w:rPr>
                <w:rFonts w:ascii="Cambria Math" w:hAnsi="Cambria Math"/>
                <w:i/>
              </w:rPr>
            </m:ctrlPr>
          </m:sSubPr>
          <m:e>
            <m:r>
              <w:rPr>
                <w:rFonts w:ascii="Cambria Math" w:hAnsi="Cambria Math"/>
              </w:rPr>
              <m:t>P</m:t>
            </m:r>
          </m:e>
          <m:sub>
            <m:r>
              <w:rPr>
                <w:rFonts w:ascii="Cambria Math" w:hAnsi="Cambria Math"/>
              </w:rPr>
              <m:t>C1,C2</m:t>
            </m:r>
          </m:sub>
        </m:sSub>
      </m:oMath>
      <w:r>
        <w:t xml:space="preserve"> </w:t>
      </w:r>
      <w:proofErr w:type="gramStart"/>
      <w:r>
        <w:t>is</w:t>
      </w:r>
      <w:proofErr w:type="gramEnd"/>
      <w:r>
        <w:t xml:space="preserve"> the prevalence of having condition 1 and condition 2 among the whole study sample while </w:t>
      </w:r>
      <m:oMath>
        <m:sSub>
          <m:sSubPr>
            <m:ctrlPr>
              <w:rPr>
                <w:rFonts w:ascii="Cambria Math" w:hAnsi="Cambria Math"/>
                <w:i/>
              </w:rPr>
            </m:ctrlPr>
          </m:sSubPr>
          <m:e>
            <m:r>
              <w:rPr>
                <w:rFonts w:ascii="Cambria Math" w:hAnsi="Cambria Math"/>
              </w:rPr>
              <m:t>N</m:t>
            </m:r>
          </m:e>
          <m:sub>
            <m:r>
              <w:rPr>
                <w:rFonts w:ascii="Cambria Math" w:hAnsi="Cambria Math"/>
              </w:rPr>
              <m:t>falls</m:t>
            </m:r>
          </m:sub>
        </m:sSub>
      </m:oMath>
      <w:r>
        <w:t xml:space="preserve"> is the number of individuals who died from falls.</w:t>
      </w:r>
      <w:r w:rsidR="00920BC5">
        <w:t xml:space="preserve"> </w:t>
      </w:r>
      <w:r w:rsidR="00432AFE">
        <w:t>The equation to calculate PAR was</w:t>
      </w:r>
      <w:r w:rsidR="00920BC5">
        <w:t xml:space="preserve"> the same as Equa</w:t>
      </w:r>
      <w:r w:rsidR="00432AFE">
        <w:t>tion 2, except the prevalence accounted for individuals who had both condition 1 and condition 2 across the whole dataset.</w:t>
      </w:r>
    </w:p>
    <w:p w:rsidR="00672A4B" w:rsidRPr="00DE48C4" w:rsidRDefault="00672A4B" w:rsidP="00432AFE">
      <w:pPr>
        <w:tabs>
          <w:tab w:val="center" w:pos="4680"/>
        </w:tabs>
        <w:jc w:val="both"/>
      </w:pPr>
    </w:p>
    <w:sectPr w:rsidR="00672A4B" w:rsidRPr="00DE4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C4"/>
    <w:rsid w:val="00025A76"/>
    <w:rsid w:val="00045C93"/>
    <w:rsid w:val="00105E55"/>
    <w:rsid w:val="001A09CA"/>
    <w:rsid w:val="003312E7"/>
    <w:rsid w:val="00432AFE"/>
    <w:rsid w:val="00467451"/>
    <w:rsid w:val="005007F0"/>
    <w:rsid w:val="0062703E"/>
    <w:rsid w:val="00672A4B"/>
    <w:rsid w:val="0075166B"/>
    <w:rsid w:val="007C414C"/>
    <w:rsid w:val="008216A2"/>
    <w:rsid w:val="008E705B"/>
    <w:rsid w:val="00920BC5"/>
    <w:rsid w:val="0092123D"/>
    <w:rsid w:val="009822A5"/>
    <w:rsid w:val="009A1F24"/>
    <w:rsid w:val="00B1031E"/>
    <w:rsid w:val="00BA3E49"/>
    <w:rsid w:val="00C3740F"/>
    <w:rsid w:val="00C44669"/>
    <w:rsid w:val="00C569C0"/>
    <w:rsid w:val="00CA7829"/>
    <w:rsid w:val="00D108A9"/>
    <w:rsid w:val="00D13D5A"/>
    <w:rsid w:val="00DE48C4"/>
    <w:rsid w:val="00EF0F8E"/>
    <w:rsid w:val="00FB7B0B"/>
    <w:rsid w:val="00FC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90ECE-5B29-4D04-B1A5-7EE64952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F24"/>
    <w:rPr>
      <w:color w:val="808080"/>
    </w:rPr>
  </w:style>
  <w:style w:type="paragraph" w:styleId="Caption">
    <w:name w:val="caption"/>
    <w:basedOn w:val="Normal"/>
    <w:next w:val="Normal"/>
    <w:uiPriority w:val="35"/>
    <w:unhideWhenUsed/>
    <w:qFormat/>
    <w:rsid w:val="00920B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3B520-FBBE-498F-A819-6E94C5F2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Zhang</dc:creator>
  <cp:keywords/>
  <dc:description/>
  <cp:lastModifiedBy>Adina Zhang</cp:lastModifiedBy>
  <cp:revision>4</cp:revision>
  <dcterms:created xsi:type="dcterms:W3CDTF">2019-06-18T19:21:00Z</dcterms:created>
  <dcterms:modified xsi:type="dcterms:W3CDTF">2019-07-08T18:58:00Z</dcterms:modified>
</cp:coreProperties>
</file>