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before="80"/>
      </w:pPr>
      <w:r>
        <w:rPr>
          <w:b/>
          <w:bCs/>
        </w:rPr>
        <w:t xml:space="preserve">Benefit Karyawan 2026</w:t>
      </w:r>
    </w:p>
    <w:p>
      <w:pPr>
        <w:spacing w:after="80" w:before="80"/>
      </w:pPr>
      <w:r>
        <w:rPr>
          <w:b w:val="false"/>
          <w:bCs w:val="false"/>
        </w:rPr>
        <w:t xml:space="preserve">Kode: HR-002 | Owner: People Operations | Efektif: 1 Januari 2026</w:t>
      </w:r>
    </w:p>
    <w:p>
      <w:pPr>
        <w:spacing w:after="80" w:before="80"/>
      </w:pPr>
      <w:r>
        <w:rPr>
          <w:b w:val="false"/>
          <w:bCs w:val="false"/>
        </w:rPr>
        <w:t xml:space="preserve">Dokumen ini merangkum benefit karyawan berdasarkan tipe kontrak kerja. Beberapa benefit memiliki nama mirip, sehingga peserta perlu memvalidasi jawaban agent dengan citation yang benar.</w:t>
      </w:r>
    </w:p>
    <w:p>
      <w:pPr>
        <w:pStyle w:val="Heading2"/>
        <w:spacing w:after="80" w:before="80"/>
      </w:pPr>
      <w:r>
        <w:rPr>
          <w:b/>
          <w:bCs/>
        </w:rPr>
        <w:t xml:space="preserve">Prinsip Eligibility</w:t>
      </w:r>
    </w:p>
    <w:p>
      <w:pPr>
        <w:spacing w:after="80" w:before="80"/>
      </w:pPr>
      <w:r>
        <w:rPr>
          <w:b w:val="false"/>
          <w:bCs w:val="false"/>
        </w:rPr>
        <w:t xml:space="preserve">Benefit berlaku berdasarkan status karyawan pada tanggal klaim diajukan. Perubahan status dari kontrak ke tetap mengikuti tanggal efektif pada HRIS, bukan tanggal verbal offer.</w:t>
      </w:r>
    </w:p>
    <w:p>
      <w:pPr>
        <w:pStyle w:val="Heading2"/>
        <w:spacing w:after="80" w:before="80"/>
      </w:pPr>
      <w:r>
        <w:rPr>
          <w:b/>
          <w:bCs/>
        </w:rPr>
        <w:t xml:space="preserve">Eligibility Allowance per Status Karyawan</w:t>
      </w:r>
    </w:p>
    <w:p>
      <w:pPr>
        <w:spacing w:after="80" w:before="80"/>
      </w:pPr>
      <w:r>
        <w:rPr>
          <w:b w:val="false"/>
          <w:bCs w:val="false"/>
        </w:rPr>
        <w:t xml:space="preserve">Intern tidak mendapat internet allowance dan tidak mendapat device allowance. Internet allowance sebesar Rp350.000 per bulan hanya untuk karyawan tetap dan kontrak yang bekerja hybrid atau remote dengan bukti tagihan. Device allowance sebesar Rp5.000.000 per 3 tahun hanya untuk karyawan tetap, dan bukan pengganti laptop kantor melainkan untuk perangkat pendukung. Internet allowance berbeda dari device allowance: internet allowance menanggung biaya langganan internet bulanan, sedangkan device allowance menanggung pembelian perangkat pendukung kerja.</w:t>
      </w:r>
    </w:p>
    <w:p>
      <w:pPr>
        <w:pStyle w:val="Heading2"/>
        <w:spacing w:after="80" w:before="80"/>
      </w:pPr>
      <w:r>
        <w:rPr>
          <w:b/>
          <w:bCs/>
        </w:rPr>
        <w:t xml:space="preserve">Matrix Benefit dan Eligibility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D0D7DE" w:sz="1"/>
              <w:left w:val="single" w:color="D0D7DE" w:sz="1"/>
              <w:bottom w:val="single" w:color="D0D7DE" w:sz="1"/>
              <w:right w:val="single" w:color="D0D7DE" w:sz="1"/>
            </w:tcBorders>
            <w:shd w:fill="DDEBFA" w:val="clear"/>
            <w:tcMar>
              <w:top w:type="dxa" w:w="80"/>
              <w:left w:type="dxa" w:w="100"/>
              <w:bottom w:type="dxa" w:w="80"/>
              <w:right w:type="dxa" w:w="100"/>
            </w:tcMar>
          </w:tcPr>
          <w:p>
            <w:r>
              <w:rPr>
                <w:b/>
                <w:bCs/>
                <w:sz w:val="18"/>
                <w:szCs w:val="18"/>
              </w:rPr>
              <w:t xml:space="preserve">Benefit</w:t>
            </w:r>
          </w:p>
        </w:tc>
        <w:tc>
          <w:tcPr>
            <w:tcW w:type="dxa" w:w="1560"/>
            <w:tcBorders>
              <w:top w:val="single" w:color="D0D7DE" w:sz="1"/>
              <w:left w:val="single" w:color="D0D7DE" w:sz="1"/>
              <w:bottom w:val="single" w:color="D0D7DE" w:sz="1"/>
              <w:right w:val="single" w:color="D0D7DE" w:sz="1"/>
            </w:tcBorders>
            <w:shd w:fill="DDEBFA" w:val="clear"/>
            <w:tcMar>
              <w:top w:type="dxa" w:w="80"/>
              <w:left w:type="dxa" w:w="100"/>
              <w:bottom w:type="dxa" w:w="80"/>
              <w:right w:type="dxa" w:w="100"/>
            </w:tcMar>
          </w:tcPr>
          <w:p>
            <w:r>
              <w:rPr>
                <w:b/>
                <w:bCs/>
                <w:sz w:val="18"/>
                <w:szCs w:val="18"/>
              </w:rPr>
              <w:t xml:space="preserve">Karyawan Tetap</w:t>
            </w:r>
          </w:p>
        </w:tc>
        <w:tc>
          <w:tcPr>
            <w:tcW w:type="dxa" w:w="1560"/>
            <w:tcBorders>
              <w:top w:val="single" w:color="D0D7DE" w:sz="1"/>
              <w:left w:val="single" w:color="D0D7DE" w:sz="1"/>
              <w:bottom w:val="single" w:color="D0D7DE" w:sz="1"/>
              <w:right w:val="single" w:color="D0D7DE" w:sz="1"/>
            </w:tcBorders>
            <w:shd w:fill="DDEBFA" w:val="clear"/>
            <w:tcMar>
              <w:top w:type="dxa" w:w="80"/>
              <w:left w:type="dxa" w:w="100"/>
              <w:bottom w:type="dxa" w:w="80"/>
              <w:right w:type="dxa" w:w="100"/>
            </w:tcMar>
          </w:tcPr>
          <w:p>
            <w:r>
              <w:rPr>
                <w:b/>
                <w:bCs/>
                <w:sz w:val="18"/>
                <w:szCs w:val="18"/>
              </w:rPr>
              <w:t xml:space="preserve">Kontrak</w:t>
            </w:r>
          </w:p>
        </w:tc>
        <w:tc>
          <w:tcPr>
            <w:tcW w:type="dxa" w:w="1560"/>
            <w:tcBorders>
              <w:top w:val="single" w:color="D0D7DE" w:sz="1"/>
              <w:left w:val="single" w:color="D0D7DE" w:sz="1"/>
              <w:bottom w:val="single" w:color="D0D7DE" w:sz="1"/>
              <w:right w:val="single" w:color="D0D7DE" w:sz="1"/>
            </w:tcBorders>
            <w:shd w:fill="DDEBFA" w:val="clear"/>
            <w:tcMar>
              <w:top w:type="dxa" w:w="80"/>
              <w:left w:type="dxa" w:w="100"/>
              <w:bottom w:type="dxa" w:w="80"/>
              <w:right w:type="dxa" w:w="100"/>
            </w:tcMar>
          </w:tcPr>
          <w:p>
            <w:r>
              <w:rPr>
                <w:b/>
                <w:bCs/>
                <w:sz w:val="18"/>
                <w:szCs w:val="18"/>
              </w:rPr>
              <w:t xml:space="preserve">Intern</w:t>
            </w:r>
          </w:p>
        </w:tc>
        <w:tc>
          <w:tcPr>
            <w:tcW w:type="dxa" w:w="1560"/>
            <w:tcBorders>
              <w:top w:val="single" w:color="D0D7DE" w:sz="1"/>
              <w:left w:val="single" w:color="D0D7DE" w:sz="1"/>
              <w:bottom w:val="single" w:color="D0D7DE" w:sz="1"/>
              <w:right w:val="single" w:color="D0D7DE" w:sz="1"/>
            </w:tcBorders>
            <w:shd w:fill="DDEBFA" w:val="clear"/>
            <w:tcMar>
              <w:top w:type="dxa" w:w="80"/>
              <w:left w:type="dxa" w:w="100"/>
              <w:bottom w:type="dxa" w:w="80"/>
              <w:right w:type="dxa" w:w="100"/>
            </w:tcMar>
          </w:tcPr>
          <w:p>
            <w:r>
              <w:rPr>
                <w:b/>
                <w:bCs/>
                <w:sz w:val="18"/>
                <w:szCs w:val="18"/>
              </w:rPr>
              <w:t xml:space="preserve">Limit / Frekuensi</w:t>
            </w:r>
          </w:p>
        </w:tc>
        <w:tc>
          <w:tcPr>
            <w:tcW w:type="dxa" w:w="1560"/>
            <w:tcBorders>
              <w:top w:val="single" w:color="D0D7DE" w:sz="1"/>
              <w:left w:val="single" w:color="D0D7DE" w:sz="1"/>
              <w:bottom w:val="single" w:color="D0D7DE" w:sz="1"/>
              <w:right w:val="single" w:color="D0D7DE" w:sz="1"/>
            </w:tcBorders>
            <w:shd w:fill="DDEBFA" w:val="clear"/>
            <w:tcMar>
              <w:top w:type="dxa" w:w="80"/>
              <w:left w:type="dxa" w:w="100"/>
              <w:bottom w:type="dxa" w:w="80"/>
              <w:right w:type="dxa" w:w="100"/>
            </w:tcMar>
          </w:tcPr>
          <w:p>
            <w:r>
              <w:rPr>
                <w:b/>
                <w:bCs/>
                <w:sz w:val="18"/>
                <w:szCs w:val="18"/>
              </w:rPr>
              <w:t xml:space="preserve">Catatan</w:t>
            </w:r>
          </w:p>
        </w:tc>
      </w:tr>
      <w:tr>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Asuransi kesehatan</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Ya</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Ya</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Tidak</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Sesuai plan</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Kontrak mendapat plan dasar setelah 3 bulan.</w:t>
            </w:r>
          </w:p>
        </w:tc>
      </w:tr>
      <w:tr>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Wellness allowance</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Ya</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Ya</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Tidak</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Rp2.400.000/tahun</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Dapat dipakai gym, mental health, atau olahraga.</w:t>
            </w:r>
          </w:p>
        </w:tc>
      </w:tr>
      <w:tr>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Internet allowance</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Ya</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Ya</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Tidak</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Rp350.000/bulan</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Untuk karyawan hybrid/remote dengan bukti tagihan.</w:t>
            </w:r>
          </w:p>
        </w:tc>
      </w:tr>
      <w:tr>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Device allowance</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Ya</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Tidak</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Tidak</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Rp5.000.000/3 tahun</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Bukan pengganti laptop kantor. Berlaku untuk perangkat pendukung.</w:t>
            </w:r>
          </w:p>
        </w:tc>
      </w:tr>
      <w:tr>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Training budget</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Ya</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Ya</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Tidak</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Rp8.000.000/tahun</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Kontrak perlu approval Head of Department.</w:t>
            </w:r>
          </w:p>
        </w:tc>
      </w:tr>
      <w:tr>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Transport harian</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Tidak</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Tidak</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Ya</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Rp50.000/hari hadir</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Hanya untuk intern onsite.</w:t>
            </w:r>
          </w:p>
        </w:tc>
      </w:tr>
      <w:tr>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Meal allowance lembur</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Ya</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Ya</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Ya</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Rp75.000/hari</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Butuh approval manager sebelum lembur.</w:t>
            </w:r>
          </w:p>
        </w:tc>
      </w:tr>
      <w:tr>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Home office kit</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Ya</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Tidak</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Tidak</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Sekali saat onboarding</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Kursi kerja, monitor, dan keyboard sesuai stok IT.</w:t>
            </w:r>
          </w:p>
        </w:tc>
      </w:tr>
      <w:tr>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Employee assistance program</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Ya</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Ya</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Ya</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6 sesi/tahun</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Konseling rahasia melalui vendor resmi.</w:t>
            </w:r>
          </w:p>
        </w:tc>
      </w:tr>
      <w:tr>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Parking reimbursement</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Tidak disebutkan</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Tidak disebutkan</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Tidak disebutkan</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Tidak ada kebijakan parkir di dokumen ini.</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CURRENT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80" w:before="80"/>
    </w:pPr>
    <w:r>
      <w:rPr>
        <w:b w:val="false"/>
        <w:bCs w:val="false"/>
      </w:rPr>
      <w:t xml:space="preserve">HR-002 | Internal | 1 Januari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2026-07-06T07:17:09.129Z</dcterms:created>
  <dcterms:modified xsi:type="dcterms:W3CDTF">2026-07-06T07:17:09.129Z</dcterms:modified>
</cp:coreProperties>
</file>

<file path=docProps/custom.xml><?xml version="1.0" encoding="utf-8"?>
<Properties xmlns="http://schemas.openxmlformats.org/officeDocument/2006/custom-properties" xmlns:vt="http://schemas.openxmlformats.org/officeDocument/2006/docPropsVTypes"/>
</file>