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rPr>
          <w:b/>
          <w:bCs/>
        </w:rPr>
        <w:t xml:space="preserve">Benefit Karyawan 2026</w:t>
      </w:r>
    </w:p>
    <w:p>
      <w:pPr>
        <w:spacing w:after="80" w:before="80"/>
      </w:pPr>
      <w:r>
        <w:rPr>
          <w:b w:val="false"/>
          <w:bCs w:val="false"/>
        </w:rPr>
        <w:t xml:space="preserve">Kode: HR-002 | Owner: People Operations | Efektif: 1 Januari 2026</w:t>
      </w:r>
    </w:p>
    <w:p>
      <w:pPr>
        <w:spacing w:after="80" w:before="80"/>
      </w:pPr>
      <w:r>
        <w:rPr>
          <w:b w:val="false"/>
          <w:bCs w:val="false"/>
        </w:rPr>
        <w:t xml:space="preserve">Dokumen ini merangkum benefit karyawan berdasarkan tipe kontrak kerja. Beberapa benefit memiliki nama mirip, sehingga peserta perlu memvalidasi jawaban agent dengan citation yang benar.</w:t>
      </w:r>
    </w:p>
    <w:p>
      <w:pPr>
        <w:pStyle w:val="Heading2"/>
        <w:spacing w:after="80" w:before="80"/>
      </w:pPr>
      <w:r>
        <w:rPr>
          <w:b/>
          <w:bCs/>
        </w:rPr>
        <w:t xml:space="preserve">Prinsip Eligibility</w:t>
      </w:r>
    </w:p>
    <w:p>
      <w:pPr>
        <w:spacing w:after="80" w:before="80"/>
      </w:pPr>
      <w:r>
        <w:rPr>
          <w:b w:val="false"/>
          <w:bCs w:val="false"/>
        </w:rPr>
        <w:t xml:space="preserve">Benefit berlaku berdasarkan status karyawan pada tanggal klaim diajukan. Perubahan status dari kontrak ke tetap mengikuti tanggal efektif pada HRIS, bukan tanggal verbal offer.</w:t>
      </w:r>
    </w:p>
    <w:p>
      <w:pPr>
        <w:pStyle w:val="Heading2"/>
        <w:spacing w:after="80" w:before="80"/>
      </w:pPr>
      <w:r>
        <w:rPr>
          <w:b/>
          <w:bCs/>
        </w:rPr>
        <w:t xml:space="preserve">Matrix Benefit dan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Benefit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Karyawan Tetap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Kontrak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 / Frekuensi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Asuransi kesehatan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Sesuai plan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Kontrak mendapat plan dasar setelah 3 bulan.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Wellness allowance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Rp2.400.000/tahun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Dapat dipakai gym, mental health, atau olahraga.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Internet allowance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Rp350.000/bulan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Untuk karyawan hybrid/remote dengan bukti tagihan.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 allowance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Rp5.000.000/3 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Bukan pengganti laptop kantor. Berlaku untuk perangkat pendukung.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budget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Rp8.000.000/tahun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Kontrak perlu approval Head of Department.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 harian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Rp50.000/hari hadir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Hanya untuk intern onsite.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Meal allowance lembur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Rp75.000/hari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Butuh approval manager sebelum lembur.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office kit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Sekali saat onboarding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Kursi kerja, monitor, dan keyboard sesuai stok IT.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assistance program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sesi/tahun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Konseling rahasia melalui vendor resmi.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Parking reimbursement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disebutkan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disebutkan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disebutkan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ada kebijakan parkir di dokumen ini.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/>
    </w:pPr>
    <w:r>
      <w:rPr>
        <w:b w:val="false"/>
        <w:bCs w:val="false"/>
      </w:rPr>
      <w:t xml:space="preserve">HR-002 | Internal | 1 Januari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2026-07-05T17:54:44.332Z</dcterms:created>
  <dcterms:modified xsi:type="dcterms:W3CDTF">2026-07-05T17:54:44.332Z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