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80"/>
      </w:pPr>
      <w:r>
        <w:rPr>
          <w:b/>
          <w:bCs/>
        </w:rPr>
        <w:t xml:space="preserve">Kebijakan Cuti Karyawan 2026</w:t>
      </w:r>
    </w:p>
    <w:p>
      <w:pPr>
        <w:spacing w:after="80" w:before="80"/>
      </w:pPr>
      <w:r>
        <w:rPr>
          <w:b w:val="false"/>
          <w:bCs w:val="false"/>
        </w:rPr>
        <w:t xml:space="preserve">Kode: HR-001 | Owner: People Operations | Efektif: 1 Januari 2026</w:t>
      </w:r>
    </w:p>
    <w:p>
      <w:pPr>
        <w:spacing w:after="80" w:before="80"/>
      </w:pPr>
      <w:r>
        <w:rPr>
          <w:b w:val="false"/>
          <w:bCs w:val="false"/>
        </w:rPr>
        <w:t xml:space="preserve">Dokumen ini menjelaskan hak cuti, aturan pengajuan, dan pengecualian untuk karyawan Contoso Indonesia.</w:t>
      </w:r>
    </w:p>
    <w:p>
      <w:pPr>
        <w:pStyle w:val="Heading2"/>
        <w:spacing w:after="80" w:before="80"/>
      </w:pPr>
      <w:r>
        <w:rPr>
          <w:b/>
          <w:bCs/>
        </w:rPr>
        <w:t xml:space="preserve">Prinsip Umum</w:t>
      </w:r>
    </w:p>
    <w:p>
      <w:pPr>
        <w:spacing w:after="80" w:before="80"/>
      </w:pPr>
      <w:r>
        <w:rPr>
          <w:b w:val="false"/>
          <w:bCs w:val="false"/>
        </w:rPr>
        <w:t xml:space="preserve">Semua cuti harus diajukan melalui HR Portal. Manager wajib memberikan keputusan maksimal dua hari kerja setelah permintaan diterima, kecuali cuti sakit yang dilaporkan setelah kejadian.</w:t>
      </w:r>
    </w:p>
    <w:p>
      <w:pPr>
        <w:pStyle w:val="Heading2"/>
        <w:spacing w:after="80" w:before="80"/>
      </w:pPr>
      <w:r>
        <w:rPr>
          <w:b/>
          <w:bCs/>
        </w:rPr>
        <w:t xml:space="preserve">Proses Pengajuan Cuti End-to-End</w:t>
      </w:r>
    </w:p>
    <w:p>
      <w:pPr>
        <w:spacing w:after="80" w:before="80"/>
      </w:pPr>
      <w:r>
        <w:rPr>
          <w:b w:val="false"/>
          <w:bCs w:val="false"/>
        </w:rPr>
        <w:t xml:space="preserve">Alur pengajuan cuti berjalan end-to-end sebagai berikut:
1. Karyawan mengajukan cuti melalui HR Portal dengan memilih jenis cuti serta tanggal mulai dan tanggal selesai.
2. Manager melakukan review dan memberikan keputusan (setuju atau tolak) maksimal dua hari kerja setelah permintaan diterima.
3. Setelah disetujui, HR memperbarui saldo cuti dan status pengajuan pada sistem.
4. Sistem mengirim notifikasi hasil pengajuan ke karyawan.
Pengecualian: cuti sakit dapat dilaporkan pada hari H setelah kejadian, dan cuti sakit lebih dari satu hari memerlukan surat dokter.</w:t>
      </w:r>
    </w:p>
    <w:p>
      <w:pPr>
        <w:pStyle w:val="Heading2"/>
        <w:spacing w:after="80" w:before="80"/>
      </w:pPr>
      <w:r>
        <w:rPr>
          <w:b/>
          <w:bCs/>
        </w:rPr>
        <w:t xml:space="preserve">Dokumen Pendukung</w:t>
      </w:r>
    </w:p>
    <w:p>
      <w:pPr>
        <w:spacing w:after="80" w:before="80"/>
      </w:pPr>
      <w:r>
        <w:rPr>
          <w:b w:val="false"/>
          <w:bCs w:val="false"/>
        </w:rPr>
        <w:t xml:space="preserve">Cuti sakit lebih dari satu hari memerlukan surat dokter. Cuti khusus memerlukan dokumen pendukung sesuai kategori, seperti undangan resmi, akta, atau surat keterangan dari instansi terkait.</w:t>
      </w:r>
    </w:p>
    <w:p>
      <w:pPr>
        <w:pStyle w:val="Heading2"/>
        <w:spacing w:after="80" w:before="80"/>
      </w:pPr>
      <w:r>
        <w:rPr>
          <w:b/>
          <w:bCs/>
        </w:rPr>
        <w:t xml:space="preserve">Tabel Hak Cuti dan Aturan Pengajuan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D0D7DE" w:sz="1"/>
              <w:left w:val="single" w:color="D0D7DE" w:sz="1"/>
              <w:bottom w:val="single" w:color="D0D7DE" w:sz="1"/>
              <w:right w:val="single" w:color="D0D7DE" w:sz="1"/>
            </w:tcBorders>
            <w:shd w:fill="DDEBFA" w:val="clear"/>
            <w:tcMar>
              <w:top w:type="dxa" w:w="80"/>
              <w:left w:type="dxa" w:w="100"/>
              <w:bottom w:type="dxa" w:w="80"/>
              <w:right w:type="dxa" w:w="100"/>
            </w:tcMar>
          </w:tcPr>
          <w:p>
            <w:r>
              <w:rPr>
                <w:b/>
                <w:bCs/>
                <w:sz w:val="18"/>
                <w:szCs w:val="18"/>
              </w:rPr>
              <w:t xml:space="preserve">Kategori</w:t>
            </w:r>
          </w:p>
        </w:tc>
        <w:tc>
          <w:tcPr>
            <w:tcW w:type="dxa" w:w="1560"/>
            <w:tcBorders>
              <w:top w:val="single" w:color="D0D7DE" w:sz="1"/>
              <w:left w:val="single" w:color="D0D7DE" w:sz="1"/>
              <w:bottom w:val="single" w:color="D0D7DE" w:sz="1"/>
              <w:right w:val="single" w:color="D0D7DE" w:sz="1"/>
            </w:tcBorders>
            <w:shd w:fill="DDEBFA" w:val="clear"/>
            <w:tcMar>
              <w:top w:type="dxa" w:w="80"/>
              <w:left w:type="dxa" w:w="100"/>
              <w:bottom w:type="dxa" w:w="80"/>
              <w:right w:type="dxa" w:w="100"/>
            </w:tcMar>
          </w:tcPr>
          <w:p>
            <w:r>
              <w:rPr>
                <w:b/>
                <w:bCs/>
                <w:sz w:val="18"/>
                <w:szCs w:val="18"/>
              </w:rPr>
              <w:t xml:space="preserve">Eligibility</w:t>
            </w:r>
          </w:p>
        </w:tc>
        <w:tc>
          <w:tcPr>
            <w:tcW w:type="dxa" w:w="1560"/>
            <w:tcBorders>
              <w:top w:val="single" w:color="D0D7DE" w:sz="1"/>
              <w:left w:val="single" w:color="D0D7DE" w:sz="1"/>
              <w:bottom w:val="single" w:color="D0D7DE" w:sz="1"/>
              <w:right w:val="single" w:color="D0D7DE" w:sz="1"/>
            </w:tcBorders>
            <w:shd w:fill="DDEBFA" w:val="clear"/>
            <w:tcMar>
              <w:top w:type="dxa" w:w="80"/>
              <w:left w:type="dxa" w:w="100"/>
              <w:bottom w:type="dxa" w:w="80"/>
              <w:right w:type="dxa" w:w="100"/>
            </w:tcMar>
          </w:tcPr>
          <w:p>
            <w:r>
              <w:rPr>
                <w:b/>
                <w:bCs/>
                <w:sz w:val="18"/>
                <w:szCs w:val="18"/>
              </w:rPr>
              <w:t xml:space="preserve">Kuota</w:t>
            </w:r>
          </w:p>
        </w:tc>
        <w:tc>
          <w:tcPr>
            <w:tcW w:type="dxa" w:w="1560"/>
            <w:tcBorders>
              <w:top w:val="single" w:color="D0D7DE" w:sz="1"/>
              <w:left w:val="single" w:color="D0D7DE" w:sz="1"/>
              <w:bottom w:val="single" w:color="D0D7DE" w:sz="1"/>
              <w:right w:val="single" w:color="D0D7DE" w:sz="1"/>
            </w:tcBorders>
            <w:shd w:fill="DDEBFA" w:val="clear"/>
            <w:tcMar>
              <w:top w:type="dxa" w:w="80"/>
              <w:left w:type="dxa" w:w="100"/>
              <w:bottom w:type="dxa" w:w="80"/>
              <w:right w:type="dxa" w:w="100"/>
            </w:tcMar>
          </w:tcPr>
          <w:p>
            <w:r>
              <w:rPr>
                <w:b/>
                <w:bCs/>
                <w:sz w:val="18"/>
                <w:szCs w:val="18"/>
              </w:rPr>
              <w:t xml:space="preserve">Minimal Pengajuan</w:t>
            </w:r>
          </w:p>
        </w:tc>
        <w:tc>
          <w:tcPr>
            <w:tcW w:type="dxa" w:w="1560"/>
            <w:tcBorders>
              <w:top w:val="single" w:color="D0D7DE" w:sz="1"/>
              <w:left w:val="single" w:color="D0D7DE" w:sz="1"/>
              <w:bottom w:val="single" w:color="D0D7DE" w:sz="1"/>
              <w:right w:val="single" w:color="D0D7DE" w:sz="1"/>
            </w:tcBorders>
            <w:shd w:fill="DDEBFA" w:val="clear"/>
            <w:tcMar>
              <w:top w:type="dxa" w:w="80"/>
              <w:left w:type="dxa" w:w="100"/>
              <w:bottom w:type="dxa" w:w="80"/>
              <w:right w:type="dxa" w:w="100"/>
            </w:tcMar>
          </w:tcPr>
          <w:p>
            <w:r>
              <w:rPr>
                <w:b/>
                <w:bCs/>
                <w:sz w:val="18"/>
                <w:szCs w:val="18"/>
              </w:rPr>
              <w:t xml:space="preserve">Dokumen</w:t>
            </w:r>
          </w:p>
        </w:tc>
        <w:tc>
          <w:tcPr>
            <w:tcW w:type="dxa" w:w="1560"/>
            <w:tcBorders>
              <w:top w:val="single" w:color="D0D7DE" w:sz="1"/>
              <w:left w:val="single" w:color="D0D7DE" w:sz="1"/>
              <w:bottom w:val="single" w:color="D0D7DE" w:sz="1"/>
              <w:right w:val="single" w:color="D0D7DE" w:sz="1"/>
            </w:tcBorders>
            <w:shd w:fill="DDEBFA" w:val="clear"/>
            <w:tcMar>
              <w:top w:type="dxa" w:w="80"/>
              <w:left w:type="dxa" w:w="100"/>
              <w:bottom w:type="dxa" w:w="80"/>
              <w:right w:type="dxa" w:w="100"/>
            </w:tcMar>
          </w:tcPr>
          <w:p>
            <w:r>
              <w:rPr>
                <w:b/>
                <w:bCs/>
                <w:sz w:val="18"/>
                <w:szCs w:val="18"/>
              </w:rPr>
              <w:t xml:space="preserve">Catatan</w:t>
            </w:r>
          </w:p>
        </w:tc>
      </w:tr>
      <w:tr>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Cuti tahunan</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Karyawan tetap</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12 hari/tahun</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H-3</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Tidak wajib</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Saldo prorata untuk masa kerja di bawah 12 bulan.</w:t>
            </w:r>
          </w:p>
        </w:tc>
      </w:tr>
      <w:tr>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Cuti tahunan</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Karyawan kontrak</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8 hari/tahun</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H-3</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Tidak wajib</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Berlaku setelah probation selesai.</w:t>
            </w:r>
          </w:p>
        </w:tc>
      </w:tr>
      <w:tr>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Cuti sakit</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Semua karyawan</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Sesuai kebutuhan</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Hari H</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Surat dokter jika &gt;1 hari</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Wajib update manager sebelum pukul 10.00.</w:t>
            </w:r>
          </w:p>
        </w:tc>
      </w:tr>
      <w:tr>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Cuti melahirkan</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Karyawan tetap</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90 hari kalender</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H-30</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Surat dokter</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Koordinasikan handover minimal 2 minggu sebelum cuti.</w:t>
            </w:r>
          </w:p>
        </w:tc>
      </w:tr>
      <w:tr>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Cuti menikah</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Semua karyawan</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3 hari kerja</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H-14</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Undangan/akta</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Tidak memotong saldo cuti tahunan.</w:t>
            </w:r>
          </w:p>
        </w:tc>
      </w:tr>
      <w:tr>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Cuti keluarga inti meninggal</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Semua karyawan</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3 hari kerja</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Hari H</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Surat keterangan</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Dapat diperpanjang menggunakan cuti tahunan.</w:t>
            </w:r>
          </w:p>
        </w:tc>
      </w:tr>
      <w:tr>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Cuti ibadah</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Karyawan tetap</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10 hari kerja</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H-30</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Bukti perjalanan</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Maksimal sekali selama masa kerja.</w:t>
            </w:r>
          </w:p>
        </w:tc>
      </w:tr>
      <w:tr>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Cuti ujian sertifikasi</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Karyawan tetap dan kontrak</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2 hari/tahun</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H-14</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Jadwal ujian</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Sertifikasi harus relevan dengan role.</w:t>
            </w:r>
          </w:p>
        </w:tc>
      </w:tr>
      <w:tr>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Cuti force majeure</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Semua karyawan</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Kasus per kasus</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Secepatnya</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Bukti pendukung</w:t>
            </w:r>
          </w:p>
        </w:tc>
        <w:tc>
          <w:tcPr>
            <w:tcW w:type="dxa" w:w="1560"/>
            <w:tcBorders>
              <w:top w:val="single" w:color="D0D7DE" w:sz="1"/>
              <w:left w:val="single" w:color="D0D7DE" w:sz="1"/>
              <w:bottom w:val="single" w:color="D0D7DE" w:sz="1"/>
              <w:right w:val="single" w:color="D0D7DE" w:sz="1"/>
            </w:tcBorders>
            <w:tcMar>
              <w:top w:type="dxa" w:w="80"/>
              <w:left w:type="dxa" w:w="100"/>
              <w:bottom w:type="dxa" w:w="80"/>
              <w:right w:type="dxa" w:w="100"/>
            </w:tcMar>
          </w:tcPr>
          <w:p>
            <w:r>
              <w:rPr>
                <w:b w:val="false"/>
                <w:bCs w:val="false"/>
                <w:sz w:val="18"/>
                <w:szCs w:val="18"/>
              </w:rPr>
              <w:t xml:space="preserve">Butuh approval People Operations.</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CURRENT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80" w:before="80"/>
    </w:pPr>
    <w:r>
      <w:rPr>
        <w:b w:val="false"/>
        <w:bCs w:val="false"/>
      </w:rPr>
      <w:t xml:space="preserve">HR-001 | Internal | 1 Januari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2026-07-07T03:09:26.766Z</dcterms:created>
  <dcterms:modified xsi:type="dcterms:W3CDTF">2026-07-07T03:09:26.766Z</dcterms:modified>
</cp:coreProperties>
</file>

<file path=docProps/custom.xml><?xml version="1.0" encoding="utf-8"?>
<Properties xmlns="http://schemas.openxmlformats.org/officeDocument/2006/custom-properties" xmlns:vt="http://schemas.openxmlformats.org/officeDocument/2006/docPropsVTypes"/>
</file>