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Entirely synthetic case note for end-coverage verification</w:t>
      </w:r>
    </w:p>
    <w:p>
      <w:r>
        <w:t>Synthetic contact: Jane Example; jane.example@example.com; phone 0412 345678.</w:t>
      </w:r>
    </w:p>
    <w:p>
      <w:r>
        <w:t>Synthetic section 1.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2.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3.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4.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5.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6.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7.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8.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9.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10.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11.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12.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13.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14.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15.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16.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17.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Synthetic section 18. During this synthetic session, the clinician and the person reviewed agreed goals and considered practical next steps. They discussed a simple daily routine, rest, supportive contact, and an approach to preparing for the next appointment. The clinician recorded a neutral summary for later review. This paragraph describes an invented scenario and contains no real clinical information.</w:t>
      </w:r>
    </w:p>
    <w:p>
      <w:r>
        <w:t>TAIL SYNTHETIC REPEAT: Jane Example; jane.example@example.com; 0412 345678.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