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EFE" w:rsidRDefault="006E7EFE" w:rsidP="006E7EFE">
      <w:pPr>
        <w:pStyle w:val="Heading1"/>
      </w:pPr>
      <w:bookmarkStart w:id="0" w:name="_GoBack"/>
      <w:r w:rsidRPr="006E7EFE">
        <w:t xml:space="preserve">ASPIRIN </w:t>
      </w:r>
      <w:bookmarkEnd w:id="0"/>
      <w:r w:rsidRPr="006E7EFE">
        <w:t>(ACETYLSALICYLIC ACID)</w:t>
      </w:r>
    </w:p>
    <w:p w:rsidR="006E7EFE" w:rsidRDefault="006E7EFE" w:rsidP="006E7EFE"/>
    <w:p w:rsidR="006E7EFE" w:rsidRDefault="006E7EFE" w:rsidP="006E7EFE"/>
    <w:p w:rsidR="006E7EFE" w:rsidRDefault="006E7EFE" w:rsidP="006E7EFE"/>
    <w:p w:rsidR="006E7EFE" w:rsidRDefault="006E7EFE" w:rsidP="006E7EFE"/>
    <w:p w:rsidR="006E7EFE" w:rsidRDefault="006E7EFE" w:rsidP="006E7EFE">
      <w:r>
        <w:t>1. INTRODUCTION:</w:t>
      </w:r>
    </w:p>
    <w:p w:rsidR="006E7EFE" w:rsidRDefault="006E7EFE" w:rsidP="006E7EFE">
      <w:r>
        <w:t>Aspirin, also known as acetylsalicylic acid (ASA), is a widely used non-steroidal anti-inflammatory drug (NSAID) with analgesic, antipyretic, anti-inflammatory, and antiplatelet properties. It is one of the most extensively studied and prescribed medications in the world, with applications ranging from pain relief to cardiovascular disease prevention.</w:t>
      </w:r>
    </w:p>
    <w:p w:rsidR="006E7EFE" w:rsidRDefault="006E7EFE" w:rsidP="006E7EFE"/>
    <w:p w:rsidR="006E7EFE" w:rsidRDefault="006E7EFE" w:rsidP="006E7EFE">
      <w:r>
        <w:t>2. CHEMICAL COMPOSITION:</w:t>
      </w:r>
    </w:p>
    <w:p w:rsidR="006E7EFE" w:rsidRDefault="006E7EFE" w:rsidP="006E7EFE">
      <w:r>
        <w:t>- Chemical Name: 2-Acetoxybenzoic acid</w:t>
      </w:r>
    </w:p>
    <w:p w:rsidR="006E7EFE" w:rsidRDefault="006E7EFE" w:rsidP="006E7EFE">
      <w:r>
        <w:t>- Molecular Formula: C9H8O4</w:t>
      </w:r>
    </w:p>
    <w:p w:rsidR="006E7EFE" w:rsidRDefault="006E7EFE" w:rsidP="006E7EFE">
      <w:r>
        <w:t>- Molecular Weight: 180.16 g/</w:t>
      </w:r>
      <w:proofErr w:type="spellStart"/>
      <w:r>
        <w:t>mol</w:t>
      </w:r>
      <w:proofErr w:type="spellEnd"/>
    </w:p>
    <w:p w:rsidR="006E7EFE" w:rsidRDefault="006E7EFE" w:rsidP="006E7EFE">
      <w:r>
        <w:t>- Structure: Consists of a benzene ring with an ester and a carboxylic acid functional group.</w:t>
      </w:r>
    </w:p>
    <w:p w:rsidR="006E7EFE" w:rsidRDefault="006E7EFE" w:rsidP="006E7EFE"/>
    <w:p w:rsidR="006E7EFE" w:rsidRDefault="006E7EFE" w:rsidP="006E7EFE">
      <w:r>
        <w:t>3. RECOMMENDED DOSAGE:</w:t>
      </w:r>
    </w:p>
    <w:p w:rsidR="006E7EFE" w:rsidRDefault="006E7EFE" w:rsidP="006E7EFE">
      <w:r>
        <w:t>- Analgesic/Antipyretic: 325–650 mg every 4–6 hours as needed (max 4 g/day)</w:t>
      </w:r>
    </w:p>
    <w:p w:rsidR="006E7EFE" w:rsidRDefault="006E7EFE" w:rsidP="006E7EFE">
      <w:r>
        <w:t>- Anti-inflammatory: 2.4–5.4 g/day in divided doses</w:t>
      </w:r>
    </w:p>
    <w:p w:rsidR="006E7EFE" w:rsidRDefault="006E7EFE" w:rsidP="006E7EFE">
      <w:r>
        <w:t>- Antiplatelet (cardiovascular prevention): 75–325 mg once daily</w:t>
      </w:r>
    </w:p>
    <w:p w:rsidR="006E7EFE" w:rsidRDefault="006E7EFE" w:rsidP="006E7EFE">
      <w:r>
        <w:t xml:space="preserve">- </w:t>
      </w:r>
      <w:proofErr w:type="spellStart"/>
      <w:r>
        <w:t>Pediatric</w:t>
      </w:r>
      <w:proofErr w:type="spellEnd"/>
      <w:r>
        <w:t xml:space="preserve"> use is generally avoided due to risk of Reye’s syndrome</w:t>
      </w:r>
    </w:p>
    <w:p w:rsidR="006E7EFE" w:rsidRDefault="006E7EFE" w:rsidP="006E7EFE"/>
    <w:p w:rsidR="006E7EFE" w:rsidRDefault="006E7EFE" w:rsidP="006E7EFE">
      <w:r>
        <w:t>4. THERAPEUTIC USES:</w:t>
      </w:r>
    </w:p>
    <w:p w:rsidR="006E7EFE" w:rsidRDefault="006E7EFE" w:rsidP="006E7EFE">
      <w:r>
        <w:t>- Pain relief (headache, musculoskeletal pain, arthritis)</w:t>
      </w:r>
    </w:p>
    <w:p w:rsidR="006E7EFE" w:rsidRDefault="006E7EFE" w:rsidP="006E7EFE">
      <w:r>
        <w:t>- Fever reduction</w:t>
      </w:r>
    </w:p>
    <w:p w:rsidR="006E7EFE" w:rsidRDefault="006E7EFE" w:rsidP="006E7EFE">
      <w:r>
        <w:t>- Inflammatory conditions (rheumatoid arthritis, osteoarthritis)</w:t>
      </w:r>
    </w:p>
    <w:p w:rsidR="006E7EFE" w:rsidRDefault="006E7EFE" w:rsidP="006E7EFE">
      <w:r>
        <w:t>- Acute coronary syndrome (ACS)</w:t>
      </w:r>
    </w:p>
    <w:p w:rsidR="006E7EFE" w:rsidRDefault="006E7EFE" w:rsidP="006E7EFE">
      <w:r>
        <w:lastRenderedPageBreak/>
        <w:t>- Secondary prevention of myocardial infarction (MI) and ischemic stroke</w:t>
      </w:r>
    </w:p>
    <w:p w:rsidR="006E7EFE" w:rsidRDefault="006E7EFE" w:rsidP="006E7EFE">
      <w:r>
        <w:t>- Post-angioplasty and stent placement</w:t>
      </w:r>
    </w:p>
    <w:p w:rsidR="006E7EFE" w:rsidRDefault="006E7EFE" w:rsidP="006E7EFE">
      <w:r>
        <w:t>- Prevention of preeclampsia in high-risk pregnancies (low-dose)</w:t>
      </w:r>
    </w:p>
    <w:p w:rsidR="006E7EFE" w:rsidRDefault="006E7EFE" w:rsidP="006E7EFE"/>
    <w:p w:rsidR="006E7EFE" w:rsidRDefault="006E7EFE" w:rsidP="006E7EFE">
      <w:r>
        <w:t>5. POTENTIAL SIDE EFFECTS:</w:t>
      </w:r>
    </w:p>
    <w:p w:rsidR="006E7EFE" w:rsidRDefault="006E7EFE" w:rsidP="006E7EFE">
      <w:r>
        <w:t>Common:</w:t>
      </w:r>
    </w:p>
    <w:p w:rsidR="006E7EFE" w:rsidRDefault="006E7EFE" w:rsidP="006E7EFE">
      <w:r>
        <w:t>- Gastric irritation</w:t>
      </w:r>
    </w:p>
    <w:p w:rsidR="006E7EFE" w:rsidRDefault="006E7EFE" w:rsidP="006E7EFE">
      <w:r>
        <w:t>- Nausea</w:t>
      </w:r>
    </w:p>
    <w:p w:rsidR="006E7EFE" w:rsidRDefault="006E7EFE" w:rsidP="006E7EFE">
      <w:r>
        <w:t>- Heartburn</w:t>
      </w:r>
    </w:p>
    <w:p w:rsidR="006E7EFE" w:rsidRDefault="006E7EFE" w:rsidP="006E7EFE">
      <w:r>
        <w:t>- Tinnitus (especially at high doses)</w:t>
      </w:r>
    </w:p>
    <w:p w:rsidR="006E7EFE" w:rsidRDefault="006E7EFE" w:rsidP="006E7EFE"/>
    <w:p w:rsidR="006E7EFE" w:rsidRDefault="006E7EFE" w:rsidP="006E7EFE">
      <w:r>
        <w:t>Less Common:</w:t>
      </w:r>
    </w:p>
    <w:p w:rsidR="006E7EFE" w:rsidRDefault="006E7EFE" w:rsidP="006E7EFE">
      <w:r>
        <w:t>- Gastrointestinal bleeding</w:t>
      </w:r>
    </w:p>
    <w:p w:rsidR="006E7EFE" w:rsidRDefault="006E7EFE" w:rsidP="006E7EFE">
      <w:r>
        <w:t>- Peptic ulcers</w:t>
      </w:r>
    </w:p>
    <w:p w:rsidR="006E7EFE" w:rsidRDefault="006E7EFE" w:rsidP="006E7EFE">
      <w:r>
        <w:t>- Allergic reactions (rash, bronchospasm)</w:t>
      </w:r>
    </w:p>
    <w:p w:rsidR="006E7EFE" w:rsidRDefault="006E7EFE" w:rsidP="006E7EFE"/>
    <w:p w:rsidR="006E7EFE" w:rsidRDefault="006E7EFE" w:rsidP="006E7EFE">
      <w:r>
        <w:t>Rare:</w:t>
      </w:r>
    </w:p>
    <w:p w:rsidR="006E7EFE" w:rsidRDefault="006E7EFE" w:rsidP="006E7EFE">
      <w:r>
        <w:t>- Reye’s syndrome (in children)</w:t>
      </w:r>
    </w:p>
    <w:p w:rsidR="006E7EFE" w:rsidRDefault="006E7EFE" w:rsidP="006E7EFE">
      <w:r>
        <w:t>- Hepatotoxicity</w:t>
      </w:r>
    </w:p>
    <w:p w:rsidR="006E7EFE" w:rsidRDefault="006E7EFE" w:rsidP="006E7EFE">
      <w:r>
        <w:t>- Thrombocytopenia</w:t>
      </w:r>
    </w:p>
    <w:p w:rsidR="006E7EFE" w:rsidRDefault="006E7EFE" w:rsidP="006E7EFE">
      <w:r>
        <w:t>- Anaphylaxis</w:t>
      </w:r>
    </w:p>
    <w:p w:rsidR="006E7EFE" w:rsidRDefault="006E7EFE" w:rsidP="006E7EFE"/>
    <w:p w:rsidR="006E7EFE" w:rsidRDefault="006E7EFE" w:rsidP="006E7EFE">
      <w:r>
        <w:t>6. PATIENT FEEDBACK:</w:t>
      </w:r>
    </w:p>
    <w:p w:rsidR="006E7EFE" w:rsidRDefault="006E7EFE" w:rsidP="006E7EFE">
      <w:r>
        <w:t>Patients report effective relief from pain and inflammation, and improved cardiovascular outcomes. However, gastrointestinal discomfort and bleeding tendencies are common concerns. Adherence is generally high in cardiovascular prevention when side effects are minimal.</w:t>
      </w:r>
    </w:p>
    <w:p w:rsidR="006E7EFE" w:rsidRDefault="006E7EFE" w:rsidP="006E7EFE"/>
    <w:p w:rsidR="006E7EFE" w:rsidRDefault="006E7EFE" w:rsidP="006E7EFE">
      <w:r>
        <w:t>7. COMMON COMPLAINTS:</w:t>
      </w:r>
    </w:p>
    <w:p w:rsidR="006E7EFE" w:rsidRDefault="006E7EFE" w:rsidP="006E7EFE">
      <w:r>
        <w:lastRenderedPageBreak/>
        <w:t>- Stomach upset</w:t>
      </w:r>
    </w:p>
    <w:p w:rsidR="006E7EFE" w:rsidRDefault="006E7EFE" w:rsidP="006E7EFE">
      <w:r>
        <w:t>- Acid reflux</w:t>
      </w:r>
    </w:p>
    <w:p w:rsidR="006E7EFE" w:rsidRDefault="006E7EFE" w:rsidP="006E7EFE">
      <w:r>
        <w:t>- Bruising easily</w:t>
      </w:r>
    </w:p>
    <w:p w:rsidR="006E7EFE" w:rsidRDefault="006E7EFE" w:rsidP="006E7EFE">
      <w:r>
        <w:t>- Minor bleeding (e.g., gums, nose)</w:t>
      </w:r>
    </w:p>
    <w:p w:rsidR="006E7EFE" w:rsidRDefault="006E7EFE" w:rsidP="006E7EFE">
      <w:r>
        <w:t>- Ringing in ears (tinnitus)</w:t>
      </w:r>
    </w:p>
    <w:p w:rsidR="006E7EFE" w:rsidRDefault="006E7EFE" w:rsidP="006E7EFE"/>
    <w:p w:rsidR="006E7EFE" w:rsidRDefault="006E7EFE" w:rsidP="006E7EFE">
      <w:r>
        <w:t>8. ASSOCIATED RISKS:</w:t>
      </w:r>
    </w:p>
    <w:p w:rsidR="006E7EFE" w:rsidRDefault="006E7EFE" w:rsidP="006E7EFE">
      <w:r>
        <w:t>- Increased risk of gastrointestinal bleeding and ulcers</w:t>
      </w:r>
    </w:p>
    <w:p w:rsidR="006E7EFE" w:rsidRDefault="006E7EFE" w:rsidP="006E7EFE">
      <w:r>
        <w:t xml:space="preserve">- </w:t>
      </w:r>
      <w:proofErr w:type="spellStart"/>
      <w:r>
        <w:t>Hemorrhagic</w:t>
      </w:r>
      <w:proofErr w:type="spellEnd"/>
      <w:r>
        <w:t xml:space="preserve"> stroke</w:t>
      </w:r>
    </w:p>
    <w:p w:rsidR="006E7EFE" w:rsidRDefault="006E7EFE" w:rsidP="006E7EFE">
      <w:r>
        <w:t>- Hypersensitivity reactions</w:t>
      </w:r>
    </w:p>
    <w:p w:rsidR="006E7EFE" w:rsidRDefault="006E7EFE" w:rsidP="006E7EFE">
      <w:r>
        <w:t>- Interaction with anticoagulants, corticosteroids, and other NSAIDs</w:t>
      </w:r>
    </w:p>
    <w:p w:rsidR="006E7EFE" w:rsidRDefault="006E7EFE" w:rsidP="006E7EFE">
      <w:r>
        <w:t>- Risk of Reye’s syndrome in children with viral infections</w:t>
      </w:r>
    </w:p>
    <w:p w:rsidR="006E7EFE" w:rsidRDefault="006E7EFE" w:rsidP="006E7EFE"/>
    <w:p w:rsidR="006E7EFE" w:rsidRDefault="006E7EFE" w:rsidP="006E7EFE">
      <w:r>
        <w:t>9. SYMPTOMS INDICATING WHEN IT SHOULD BE TAKEN:</w:t>
      </w:r>
    </w:p>
    <w:p w:rsidR="006E7EFE" w:rsidRDefault="006E7EFE" w:rsidP="006E7EFE">
      <w:r>
        <w:t>- History of cardiovascular events (MI, stroke)</w:t>
      </w:r>
    </w:p>
    <w:p w:rsidR="006E7EFE" w:rsidRDefault="006E7EFE" w:rsidP="006E7EFE">
      <w:r>
        <w:t>- High risk of thromboembolic disorders</w:t>
      </w:r>
    </w:p>
    <w:p w:rsidR="006E7EFE" w:rsidRDefault="006E7EFE" w:rsidP="006E7EFE">
      <w:r>
        <w:t>- Post-surgical cardiac interventions (e.g., CABG, PCI)</w:t>
      </w:r>
    </w:p>
    <w:p w:rsidR="006E7EFE" w:rsidRDefault="006E7EFE" w:rsidP="006E7EFE">
      <w:r>
        <w:t>- Inflammatory or painful conditions</w:t>
      </w:r>
    </w:p>
    <w:p w:rsidR="006E7EFE" w:rsidRDefault="006E7EFE" w:rsidP="006E7EFE"/>
    <w:p w:rsidR="006E7EFE" w:rsidRDefault="006E7EFE" w:rsidP="006E7EFE">
      <w:r>
        <w:t>10. SYMPTOMS INDICATING WHEN IT SHOULD NOT BE TAKEN:</w:t>
      </w:r>
    </w:p>
    <w:p w:rsidR="006E7EFE" w:rsidRDefault="006E7EFE" w:rsidP="006E7EFE">
      <w:r>
        <w:t>- Active peptic ulcer disease</w:t>
      </w:r>
    </w:p>
    <w:p w:rsidR="006E7EFE" w:rsidRDefault="006E7EFE" w:rsidP="006E7EFE">
      <w:r>
        <w:t xml:space="preserve">- </w:t>
      </w:r>
      <w:proofErr w:type="spellStart"/>
      <w:r>
        <w:t>Hemophilia</w:t>
      </w:r>
      <w:proofErr w:type="spellEnd"/>
      <w:r>
        <w:t xml:space="preserve"> or bleeding disorders</w:t>
      </w:r>
    </w:p>
    <w:p w:rsidR="006E7EFE" w:rsidRDefault="006E7EFE" w:rsidP="006E7EFE">
      <w:r>
        <w:t>- Hypersensitivity to NSAIDs</w:t>
      </w:r>
    </w:p>
    <w:p w:rsidR="006E7EFE" w:rsidRDefault="006E7EFE" w:rsidP="006E7EFE">
      <w:r>
        <w:t>- Severe liver or kidney disease</w:t>
      </w:r>
    </w:p>
    <w:p w:rsidR="006E7EFE" w:rsidRDefault="006E7EFE" w:rsidP="006E7EFE">
      <w:r>
        <w:t>- Children with viral infections</w:t>
      </w:r>
    </w:p>
    <w:p w:rsidR="006E7EFE" w:rsidRDefault="006E7EFE" w:rsidP="006E7EFE"/>
    <w:p w:rsidR="006E7EFE" w:rsidRDefault="006E7EFE" w:rsidP="006E7EFE">
      <w:r>
        <w:t>11. LIMITATIONS:</w:t>
      </w:r>
    </w:p>
    <w:p w:rsidR="006E7EFE" w:rsidRDefault="006E7EFE" w:rsidP="006E7EFE">
      <w:r>
        <w:lastRenderedPageBreak/>
        <w:t xml:space="preserve">- Not suitable for </w:t>
      </w:r>
      <w:proofErr w:type="spellStart"/>
      <w:r>
        <w:t>pediatric</w:t>
      </w:r>
      <w:proofErr w:type="spellEnd"/>
      <w:r>
        <w:t xml:space="preserve"> use (except under strict medical supervision)</w:t>
      </w:r>
    </w:p>
    <w:p w:rsidR="006E7EFE" w:rsidRDefault="006E7EFE" w:rsidP="006E7EFE">
      <w:r>
        <w:t>- Requires monitoring in patients with renal or hepatic impairment</w:t>
      </w:r>
    </w:p>
    <w:p w:rsidR="006E7EFE" w:rsidRDefault="006E7EFE" w:rsidP="006E7EFE">
      <w:r>
        <w:t>- Should be used cautiously in elderly patients</w:t>
      </w:r>
    </w:p>
    <w:p w:rsidR="006E7EFE" w:rsidRDefault="006E7EFE" w:rsidP="006E7EFE">
      <w:r>
        <w:t>- Risk of bleeding limits use in certain populations</w:t>
      </w:r>
    </w:p>
    <w:p w:rsidR="006E7EFE" w:rsidRDefault="006E7EFE" w:rsidP="006E7EFE"/>
    <w:p w:rsidR="006E7EFE" w:rsidRDefault="006E7EFE" w:rsidP="006E7EFE">
      <w:r>
        <w:t>12. APPROPRIATE PATIENT DEMOGRAPHICS:</w:t>
      </w:r>
    </w:p>
    <w:p w:rsidR="006E7EFE" w:rsidRDefault="006E7EFE" w:rsidP="006E7EFE">
      <w:r>
        <w:t>- Adults aged 40 and above with cardiovascular risk factors</w:t>
      </w:r>
    </w:p>
    <w:p w:rsidR="006E7EFE" w:rsidRDefault="006E7EFE" w:rsidP="006E7EFE">
      <w:r>
        <w:t>- Patients with a history of MI or ischemic stroke</w:t>
      </w:r>
    </w:p>
    <w:p w:rsidR="006E7EFE" w:rsidRDefault="006E7EFE" w:rsidP="006E7EFE">
      <w:r>
        <w:t>- Patients undergoing PCI or CABG</w:t>
      </w:r>
    </w:p>
    <w:p w:rsidR="006E7EFE" w:rsidRDefault="006E7EFE" w:rsidP="006E7EFE">
      <w:r>
        <w:t>- Women at high risk of preeclampsia (low-dose aspirin)</w:t>
      </w:r>
    </w:p>
    <w:p w:rsidR="006E7EFE" w:rsidRDefault="006E7EFE" w:rsidP="006E7EFE"/>
    <w:p w:rsidR="006E7EFE" w:rsidRDefault="006E7EFE" w:rsidP="006E7EFE">
      <w:r>
        <w:t>13. DIFFERENCES FROM SIMILAR PRODUCTS:</w:t>
      </w:r>
    </w:p>
    <w:p w:rsidR="006E7EFE" w:rsidRDefault="006E7EFE" w:rsidP="006E7EFE">
      <w:r>
        <w:t xml:space="preserve">Compared to </w:t>
      </w:r>
      <w:proofErr w:type="spellStart"/>
      <w:r>
        <w:t>Clopidogrel</w:t>
      </w:r>
      <w:proofErr w:type="spellEnd"/>
      <w:r>
        <w:t>:</w:t>
      </w:r>
    </w:p>
    <w:p w:rsidR="006E7EFE" w:rsidRDefault="006E7EFE" w:rsidP="006E7EFE">
      <w:r>
        <w:t xml:space="preserve">- Aspirin inhibits COX-1; </w:t>
      </w:r>
      <w:proofErr w:type="spellStart"/>
      <w:r>
        <w:t>Clopidogrel</w:t>
      </w:r>
      <w:proofErr w:type="spellEnd"/>
      <w:r>
        <w:t xml:space="preserve"> blocks ADP receptors</w:t>
      </w:r>
    </w:p>
    <w:p w:rsidR="006E7EFE" w:rsidRDefault="006E7EFE" w:rsidP="006E7EFE">
      <w:r>
        <w:t>- Aspirin has faster onset but higher GI side effects</w:t>
      </w:r>
    </w:p>
    <w:p w:rsidR="006E7EFE" w:rsidRDefault="006E7EFE" w:rsidP="006E7EFE">
      <w:r>
        <w:t xml:space="preserve">- </w:t>
      </w:r>
      <w:proofErr w:type="spellStart"/>
      <w:r>
        <w:t>Clopidogrel</w:t>
      </w:r>
      <w:proofErr w:type="spellEnd"/>
      <w:r>
        <w:t xml:space="preserve"> preferred in aspirin-intolerant patients</w:t>
      </w:r>
    </w:p>
    <w:p w:rsidR="006E7EFE" w:rsidRDefault="006E7EFE" w:rsidP="006E7EFE"/>
    <w:p w:rsidR="006E7EFE" w:rsidRDefault="006E7EFE" w:rsidP="006E7EFE">
      <w:r>
        <w:t>Compared to Warfarin:</w:t>
      </w:r>
    </w:p>
    <w:p w:rsidR="006E7EFE" w:rsidRDefault="006E7EFE" w:rsidP="006E7EFE">
      <w:r>
        <w:t>- Aspirin is an antiplatelet; Warfarin is an anticoagulant</w:t>
      </w:r>
    </w:p>
    <w:p w:rsidR="006E7EFE" w:rsidRDefault="006E7EFE" w:rsidP="006E7EFE">
      <w:r>
        <w:t>- Warfarin requires INR monitoring; Aspirin does not</w:t>
      </w:r>
    </w:p>
    <w:p w:rsidR="006E7EFE" w:rsidRDefault="006E7EFE" w:rsidP="006E7EFE">
      <w:r>
        <w:t>- Warfarin has more drug-food interactions</w:t>
      </w:r>
    </w:p>
    <w:p w:rsidR="006E7EFE" w:rsidRDefault="006E7EFE" w:rsidP="006E7EFE"/>
    <w:p w:rsidR="006E7EFE" w:rsidRDefault="006E7EFE" w:rsidP="006E7EFE">
      <w:r>
        <w:t>Compared to NSAIDs (e.g., Ibuprofen):</w:t>
      </w:r>
    </w:p>
    <w:p w:rsidR="006E7EFE" w:rsidRDefault="006E7EFE" w:rsidP="006E7EFE">
      <w:r>
        <w:t>- Aspirin has irreversible COX inhibition; others are reversible</w:t>
      </w:r>
    </w:p>
    <w:p w:rsidR="006E7EFE" w:rsidRDefault="006E7EFE" w:rsidP="006E7EFE">
      <w:r>
        <w:t>- Aspirin has antiplatelet effects; others do not</w:t>
      </w:r>
    </w:p>
    <w:p w:rsidR="006E7EFE" w:rsidRDefault="006E7EFE" w:rsidP="006E7EFE">
      <w:r>
        <w:t>- Higher GI risk with aspirin</w:t>
      </w:r>
    </w:p>
    <w:p w:rsidR="006E7EFE" w:rsidRDefault="006E7EFE" w:rsidP="006E7EFE"/>
    <w:p w:rsidR="006E7EFE" w:rsidRDefault="006E7EFE" w:rsidP="006E7EFE">
      <w:r>
        <w:lastRenderedPageBreak/>
        <w:t>14. CIRCUMSTANCES FOR PRESCRIPTION:</w:t>
      </w:r>
    </w:p>
    <w:p w:rsidR="006E7EFE" w:rsidRDefault="006E7EFE" w:rsidP="006E7EFE">
      <w:r>
        <w:t>- Confirmed diagnosis of coronary artery disease</w:t>
      </w:r>
    </w:p>
    <w:p w:rsidR="006E7EFE" w:rsidRDefault="006E7EFE" w:rsidP="006E7EFE">
      <w:r>
        <w:t>- After myocardial infarction or ischemic stroke</w:t>
      </w:r>
    </w:p>
    <w:p w:rsidR="006E7EFE" w:rsidRDefault="006E7EFE" w:rsidP="006E7EFE">
      <w:r>
        <w:t xml:space="preserve">- As part of dual antiplatelet therapy (e.g., with </w:t>
      </w:r>
      <w:proofErr w:type="spellStart"/>
      <w:r>
        <w:t>Clopidogrel</w:t>
      </w:r>
      <w:proofErr w:type="spellEnd"/>
      <w:r>
        <w:t>)</w:t>
      </w:r>
    </w:p>
    <w:p w:rsidR="006E7EFE" w:rsidRDefault="006E7EFE" w:rsidP="006E7EFE">
      <w:r>
        <w:t>- In patients with atrial fibrillation not suitable for anticoagulants</w:t>
      </w:r>
    </w:p>
    <w:p w:rsidR="006E7EFE" w:rsidRDefault="006E7EFE" w:rsidP="006E7EFE">
      <w:r>
        <w:t>- For prevention of preeclampsia in high-risk pregnancies</w:t>
      </w:r>
    </w:p>
    <w:p w:rsidR="006E7EFE" w:rsidRDefault="006E7EFE" w:rsidP="006E7EFE"/>
    <w:p w:rsidR="006E7EFE" w:rsidRDefault="006E7EFE" w:rsidP="006E7EFE">
      <w:r>
        <w:t>15. OVERDOSE MANAGEMENT:</w:t>
      </w:r>
    </w:p>
    <w:p w:rsidR="006E7EFE" w:rsidRDefault="006E7EFE" w:rsidP="006E7EFE">
      <w:r>
        <w:t>Symptoms:</w:t>
      </w:r>
    </w:p>
    <w:p w:rsidR="006E7EFE" w:rsidRDefault="006E7EFE" w:rsidP="006E7EFE">
      <w:r>
        <w:t>- Tinnitus</w:t>
      </w:r>
    </w:p>
    <w:p w:rsidR="006E7EFE" w:rsidRDefault="006E7EFE" w:rsidP="006E7EFE">
      <w:r>
        <w:t>- Hyperventilation</w:t>
      </w:r>
    </w:p>
    <w:p w:rsidR="006E7EFE" w:rsidRDefault="006E7EFE" w:rsidP="006E7EFE">
      <w:r>
        <w:t>- Metabolic acidosis</w:t>
      </w:r>
    </w:p>
    <w:p w:rsidR="006E7EFE" w:rsidRDefault="006E7EFE" w:rsidP="006E7EFE">
      <w:r>
        <w:t>- Confusion</w:t>
      </w:r>
    </w:p>
    <w:p w:rsidR="006E7EFE" w:rsidRDefault="006E7EFE" w:rsidP="006E7EFE">
      <w:r>
        <w:t>- Seizures</w:t>
      </w:r>
    </w:p>
    <w:p w:rsidR="006E7EFE" w:rsidRDefault="006E7EFE" w:rsidP="006E7EFE">
      <w:r>
        <w:t>- Coma</w:t>
      </w:r>
    </w:p>
    <w:p w:rsidR="006E7EFE" w:rsidRDefault="006E7EFE" w:rsidP="006E7EFE"/>
    <w:p w:rsidR="006E7EFE" w:rsidRDefault="006E7EFE" w:rsidP="006E7EFE">
      <w:r>
        <w:t>Management:</w:t>
      </w:r>
    </w:p>
    <w:p w:rsidR="006E7EFE" w:rsidRDefault="006E7EFE" w:rsidP="006E7EFE">
      <w:r>
        <w:t>- Gastric lavage (if early)</w:t>
      </w:r>
    </w:p>
    <w:p w:rsidR="006E7EFE" w:rsidRDefault="006E7EFE" w:rsidP="006E7EFE">
      <w:r>
        <w:t>- Activated charcoal</w:t>
      </w:r>
    </w:p>
    <w:p w:rsidR="006E7EFE" w:rsidRDefault="006E7EFE" w:rsidP="006E7EFE">
      <w:r>
        <w:t>- IV fluids and electrolyte correction</w:t>
      </w:r>
    </w:p>
    <w:p w:rsidR="006E7EFE" w:rsidRDefault="006E7EFE" w:rsidP="006E7EFE">
      <w:r>
        <w:t>- Sodium bicarbonate for acidosis</w:t>
      </w:r>
    </w:p>
    <w:p w:rsidR="006E7EFE" w:rsidRDefault="006E7EFE" w:rsidP="006E7EFE">
      <w:r>
        <w:t xml:space="preserve">- </w:t>
      </w:r>
      <w:proofErr w:type="spellStart"/>
      <w:r>
        <w:t>Hemodialysis</w:t>
      </w:r>
      <w:proofErr w:type="spellEnd"/>
      <w:r>
        <w:t xml:space="preserve"> in severe cases</w:t>
      </w:r>
    </w:p>
    <w:p w:rsidR="006E7EFE" w:rsidRDefault="006E7EFE" w:rsidP="006E7EFE"/>
    <w:p w:rsidR="006E7EFE" w:rsidRDefault="006E7EFE" w:rsidP="006E7EFE">
      <w:r>
        <w:t>16. CLINICAL CASE EXAMPLES:</w:t>
      </w:r>
    </w:p>
    <w:p w:rsidR="006E7EFE" w:rsidRDefault="006E7EFE" w:rsidP="006E7EFE"/>
    <w:p w:rsidR="006E7EFE" w:rsidRDefault="006E7EFE" w:rsidP="006E7EFE">
      <w:r>
        <w:t>Case 1:</w:t>
      </w:r>
    </w:p>
    <w:p w:rsidR="006E7EFE" w:rsidRDefault="006E7EFE" w:rsidP="006E7EFE">
      <w:r>
        <w:t xml:space="preserve">Patient: </w:t>
      </w:r>
      <w:proofErr w:type="spellStart"/>
      <w:r>
        <w:t>Mr.</w:t>
      </w:r>
      <w:proofErr w:type="spellEnd"/>
      <w:r>
        <w:t xml:space="preserve"> Ramesh, 58 years old</w:t>
      </w:r>
    </w:p>
    <w:p w:rsidR="006E7EFE" w:rsidRDefault="006E7EFE" w:rsidP="006E7EFE">
      <w:r>
        <w:lastRenderedPageBreak/>
        <w:t>History: Hypertension, recent angioplasty</w:t>
      </w:r>
    </w:p>
    <w:p w:rsidR="006E7EFE" w:rsidRDefault="006E7EFE" w:rsidP="006E7EFE">
      <w:r>
        <w:t xml:space="preserve">Prescription: Aspirin 75 mg daily + </w:t>
      </w:r>
      <w:proofErr w:type="spellStart"/>
      <w:r>
        <w:t>Clopidogrel</w:t>
      </w:r>
      <w:proofErr w:type="spellEnd"/>
      <w:r>
        <w:t xml:space="preserve"> 75 mg</w:t>
      </w:r>
    </w:p>
    <w:p w:rsidR="006E7EFE" w:rsidRDefault="006E7EFE" w:rsidP="006E7EFE">
      <w:r>
        <w:t>Outcome: No recurrent angina, mild gastric discomfort managed with PPI</w:t>
      </w:r>
    </w:p>
    <w:p w:rsidR="006E7EFE" w:rsidRDefault="006E7EFE" w:rsidP="006E7EFE"/>
    <w:p w:rsidR="006E7EFE" w:rsidRDefault="006E7EFE" w:rsidP="006E7EFE">
      <w:r>
        <w:t>Case 2:</w:t>
      </w:r>
    </w:p>
    <w:p w:rsidR="006E7EFE" w:rsidRDefault="006E7EFE" w:rsidP="006E7EFE">
      <w:r>
        <w:t xml:space="preserve">Patient: </w:t>
      </w:r>
      <w:proofErr w:type="spellStart"/>
      <w:r>
        <w:t>Mrs.</w:t>
      </w:r>
      <w:proofErr w:type="spellEnd"/>
      <w:r>
        <w:t xml:space="preserve"> Anita, 65 years old</w:t>
      </w:r>
    </w:p>
    <w:p w:rsidR="006E7EFE" w:rsidRDefault="006E7EFE" w:rsidP="006E7EFE">
      <w:r>
        <w:t>History: Ischemic stroke 6 months ago</w:t>
      </w:r>
    </w:p>
    <w:p w:rsidR="006E7EFE" w:rsidRDefault="006E7EFE" w:rsidP="006E7EFE">
      <w:r>
        <w:t>Prescription: Aspirin 75 mg daily</w:t>
      </w:r>
    </w:p>
    <w:p w:rsidR="006E7EFE" w:rsidRDefault="006E7EFE" w:rsidP="006E7EFE">
      <w:r>
        <w:t>Outcome: No further strokes, occasional bruising noted</w:t>
      </w:r>
    </w:p>
    <w:p w:rsidR="006E7EFE" w:rsidRDefault="006E7EFE" w:rsidP="006E7EFE"/>
    <w:p w:rsidR="006E7EFE" w:rsidRDefault="006E7EFE" w:rsidP="006E7EFE">
      <w:r>
        <w:t>Case 3:</w:t>
      </w:r>
    </w:p>
    <w:p w:rsidR="006E7EFE" w:rsidRDefault="006E7EFE" w:rsidP="006E7EFE">
      <w:r>
        <w:t xml:space="preserve">Patient: </w:t>
      </w:r>
      <w:proofErr w:type="spellStart"/>
      <w:r>
        <w:t>Mr.</w:t>
      </w:r>
      <w:proofErr w:type="spellEnd"/>
      <w:r>
        <w:t xml:space="preserve"> John, 45 years old</w:t>
      </w:r>
    </w:p>
    <w:p w:rsidR="006E7EFE" w:rsidRDefault="006E7EFE" w:rsidP="006E7EFE">
      <w:r>
        <w:t>History: Diabetes, family history of CAD</w:t>
      </w:r>
    </w:p>
    <w:p w:rsidR="006E7EFE" w:rsidRDefault="006E7EFE" w:rsidP="006E7EFE">
      <w:r>
        <w:t>Prescription: Aspirin 75 mg prophylactically</w:t>
      </w:r>
    </w:p>
    <w:p w:rsidR="006E7EFE" w:rsidRDefault="006E7EFE" w:rsidP="006E7EFE">
      <w:r>
        <w:t>Outcome: No adverse events, good tolerance</w:t>
      </w:r>
    </w:p>
    <w:p w:rsidR="006E7EFE" w:rsidRDefault="006E7EFE" w:rsidP="006E7EFE"/>
    <w:p w:rsidR="006E7EFE" w:rsidRDefault="006E7EFE" w:rsidP="006E7EFE">
      <w:r>
        <w:t>17. COMPARISON WITH SIMILAR MEDICINES:</w:t>
      </w:r>
    </w:p>
    <w:p w:rsidR="006E7EFE" w:rsidRDefault="006E7EFE" w:rsidP="006E7EFE"/>
    <w:p w:rsidR="006E7EFE" w:rsidRDefault="006E7EFE" w:rsidP="006E7EFE">
      <w:r>
        <w:t xml:space="preserve">| Feature               | Aspirin             | </w:t>
      </w:r>
      <w:proofErr w:type="spellStart"/>
      <w:r>
        <w:t>Clopidogrel</w:t>
      </w:r>
      <w:proofErr w:type="spellEnd"/>
      <w:r>
        <w:t xml:space="preserve">          | Warfarin             | Ibuprofen            |</w:t>
      </w:r>
    </w:p>
    <w:p w:rsidR="006E7EFE" w:rsidRDefault="006E7EFE" w:rsidP="006E7EFE">
      <w:r>
        <w:t>|----------------------|---------------------|----------------------|----------------------|----------------------|</w:t>
      </w:r>
    </w:p>
    <w:p w:rsidR="006E7EFE" w:rsidRDefault="006E7EFE" w:rsidP="006E7EFE">
      <w:r>
        <w:t>| Class                | Antiplatelet (NSAID)| Antiplatelet (P2Y12) | Anticoagulant        | NSAID                |</w:t>
      </w:r>
    </w:p>
    <w:p w:rsidR="006E7EFE" w:rsidRDefault="006E7EFE" w:rsidP="006E7EFE">
      <w:r>
        <w:t>| Mechanism            | COX inhibition      | ADP receptor block   | Vitamin K antagonist | COX inhibition       |</w:t>
      </w:r>
    </w:p>
    <w:p w:rsidR="006E7EFE" w:rsidRDefault="006E7EFE" w:rsidP="006E7EFE">
      <w:r>
        <w:t>| Onset                | Rapid               | Moderate             | Delayed              | Rapid                |</w:t>
      </w:r>
    </w:p>
    <w:p w:rsidR="006E7EFE" w:rsidRDefault="006E7EFE" w:rsidP="006E7EFE">
      <w:r>
        <w:t>| Monitoring           | Not required        | Not required         | INR monitoring       | Not required         |</w:t>
      </w:r>
    </w:p>
    <w:p w:rsidR="006E7EFE" w:rsidRDefault="006E7EFE" w:rsidP="006E7EFE">
      <w:r>
        <w:t>| GI Risk              | High                | Low                  | Moderate             | Moderate             |</w:t>
      </w:r>
    </w:p>
    <w:p w:rsidR="006E7EFE" w:rsidRDefault="006E7EFE" w:rsidP="006E7EFE">
      <w:r>
        <w:t>| Bleeding Risk        | Moderate            | Moderate             | High                 | Low                  |</w:t>
      </w:r>
    </w:p>
    <w:p w:rsidR="006E7EFE" w:rsidRDefault="006E7EFE" w:rsidP="006E7EFE">
      <w:r>
        <w:t>| Use in Stroke        | Yes                 | Yes                  | Yes                  | No                   |</w:t>
      </w:r>
    </w:p>
    <w:p w:rsidR="006E7EFE" w:rsidRDefault="006E7EFE" w:rsidP="006E7EFE">
      <w:r>
        <w:lastRenderedPageBreak/>
        <w:t>| Use in DVT/PE        | No                  | No                   | Yes                  | No                   |</w:t>
      </w:r>
    </w:p>
    <w:p w:rsidR="006E7EFE" w:rsidRDefault="006E7EFE" w:rsidP="006E7EFE"/>
    <w:p w:rsidR="006E7EFE" w:rsidRDefault="006E7EFE" w:rsidP="006E7EFE">
      <w:r>
        <w:t>18. CONCLUSION:</w:t>
      </w:r>
    </w:p>
    <w:p w:rsidR="006E7EFE" w:rsidRDefault="006E7EFE" w:rsidP="006E7EFE">
      <w:r>
        <w:t>Aspirin remains a cornerstone in the prevention and treatment of cardiovascular disease. Its antiplatelet effects have been proven to reduce the risk of myocardial infarction and ischemic stroke. However, its use must be balanced against the risk of gastrointestinal and bleeding complications. Careful patient selection, appropriate dosing, and monitoring are essential to maximize benefits and minimize risks.</w:t>
      </w:r>
    </w:p>
    <w:p w:rsidR="006E7EFE" w:rsidRDefault="006E7EFE" w:rsidP="006E7EFE"/>
    <w:p w:rsidR="00074E09" w:rsidRDefault="006E7EFE" w:rsidP="006E7EFE">
      <w:r>
        <w:t>This report is intended for educational and clinical reference purposes only. Always consult a licensed physician for medical advice and prescription.</w:t>
      </w:r>
    </w:p>
    <w:sectPr w:rsidR="00074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EFE"/>
    <w:rsid w:val="00074E09"/>
    <w:rsid w:val="00255E4C"/>
    <w:rsid w:val="003663EA"/>
    <w:rsid w:val="006E7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EFE"/>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EF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2025-12-28T18:36:00Z</dcterms:created>
  <dcterms:modified xsi:type="dcterms:W3CDTF">2025-12-28T19:05:00Z</dcterms:modified>
</cp:coreProperties>
</file>