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143" w:rsidRDefault="00912143" w:rsidP="00912143">
      <w:pPr>
        <w:rPr>
          <w:lang w:eastAsia="en-IN"/>
        </w:rPr>
      </w:pPr>
    </w:p>
    <w:p w:rsidR="00912143" w:rsidRDefault="00912143" w:rsidP="00912143">
      <w:pPr>
        <w:rPr>
          <w:lang w:eastAsia="en-IN"/>
        </w:rPr>
      </w:pPr>
    </w:p>
    <w:p w:rsidR="00912143" w:rsidRPr="00912143" w:rsidRDefault="00912143" w:rsidP="00912143">
      <w:pPr>
        <w:rPr>
          <w:lang w:eastAsia="en-IN"/>
        </w:rPr>
      </w:pPr>
    </w:p>
    <w:p w:rsidR="00912143" w:rsidRPr="00912143" w:rsidRDefault="00912143" w:rsidP="00912143">
      <w:pPr>
        <w:pStyle w:val="Heading1"/>
      </w:pPr>
      <w:r w:rsidRPr="00912143">
        <w:t xml:space="preserve">                               FORMAL MEDICAL REPORT                </w:t>
      </w:r>
    </w:p>
    <w:p w:rsidR="00912143" w:rsidRDefault="00912143" w:rsidP="00912143">
      <w:pPr>
        <w:rPr>
          <w:bdr w:val="single" w:sz="2" w:space="0" w:color="auto" w:frame="1"/>
          <w:lang w:eastAsia="en-IN"/>
        </w:rPr>
      </w:pPr>
    </w:p>
    <w:p w:rsidR="00912143" w:rsidRPr="00912143" w:rsidRDefault="00912143" w:rsidP="00912143">
      <w:pPr>
        <w:pStyle w:val="Heading1"/>
      </w:pPr>
    </w:p>
    <w:p w:rsidR="00912143" w:rsidRDefault="00912143" w:rsidP="00912143">
      <w:pPr>
        <w:pStyle w:val="Heading1"/>
      </w:pPr>
      <w:r>
        <w:t xml:space="preserve">                                             </w:t>
      </w:r>
      <w:r w:rsidRPr="00912143">
        <w:t xml:space="preserve"> </w:t>
      </w:r>
    </w:p>
    <w:p w:rsidR="00912143" w:rsidRDefault="00912143" w:rsidP="00912143">
      <w:pPr>
        <w:pStyle w:val="Heading1"/>
      </w:pPr>
    </w:p>
    <w:p w:rsidR="00912143" w:rsidRPr="00912143" w:rsidRDefault="00912143" w:rsidP="00912143">
      <w:pPr>
        <w:pStyle w:val="Heading1"/>
      </w:pPr>
      <w:r>
        <w:t xml:space="preserve">                                            </w:t>
      </w:r>
      <w:r w:rsidRPr="00912143">
        <w:t>ECOSPRIN 75</w:t>
      </w:r>
    </w:p>
    <w:p w:rsidR="00585D0B" w:rsidRDefault="00181ACD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Default="00912143"/>
    <w:p w:rsidR="00912143" w:rsidRPr="00912143" w:rsidRDefault="00912143" w:rsidP="00912143">
      <w:pPr>
        <w:rPr>
          <w:b/>
          <w:sz w:val="48"/>
          <w:szCs w:val="48"/>
          <w:u w:val="single"/>
        </w:rPr>
      </w:pPr>
      <w:r w:rsidRPr="00912143">
        <w:rPr>
          <w:b/>
          <w:sz w:val="48"/>
          <w:szCs w:val="48"/>
          <w:u w:val="single"/>
        </w:rPr>
        <w:lastRenderedPageBreak/>
        <w:t>1. Chemical Composition</w:t>
      </w:r>
    </w:p>
    <w:p w:rsidR="00912143" w:rsidRDefault="00912143" w:rsidP="00912143">
      <w:pPr>
        <w:rPr>
          <w:sz w:val="32"/>
          <w:szCs w:val="32"/>
        </w:rPr>
      </w:pPr>
      <w:proofErr w:type="spellStart"/>
      <w:r w:rsidRPr="00912143">
        <w:rPr>
          <w:sz w:val="32"/>
          <w:szCs w:val="32"/>
        </w:rPr>
        <w:t>Ecosprin</w:t>
      </w:r>
      <w:proofErr w:type="spellEnd"/>
      <w:r w:rsidRPr="00912143">
        <w:rPr>
          <w:sz w:val="32"/>
          <w:szCs w:val="32"/>
        </w:rPr>
        <w:t xml:space="preserve"> 75 contains Aspirin (Acetylsalicylic Acid) at 75 mg per tablet. It acts as a non-steroidal anti-inflammatory drug (NSAID) with antiplatelet properties</w:t>
      </w:r>
    </w:p>
    <w:p w:rsidR="00912143" w:rsidRDefault="00912143" w:rsidP="00912143">
      <w:pPr>
        <w:rPr>
          <w:sz w:val="32"/>
          <w:szCs w:val="32"/>
        </w:rPr>
      </w:pPr>
    </w:p>
    <w:p w:rsidR="00912143" w:rsidRPr="00912143" w:rsidRDefault="00912143" w:rsidP="00912143">
      <w:pPr>
        <w:rPr>
          <w:b/>
          <w:sz w:val="48"/>
          <w:szCs w:val="48"/>
          <w:u w:val="single"/>
        </w:rPr>
      </w:pPr>
      <w:r w:rsidRPr="00912143">
        <w:rPr>
          <w:b/>
          <w:sz w:val="48"/>
          <w:szCs w:val="48"/>
          <w:u w:val="single"/>
        </w:rPr>
        <w:t>2. Recommended Dosage</w:t>
      </w:r>
    </w:p>
    <w:p w:rsidR="00912143" w:rsidRDefault="00912143" w:rsidP="00912143">
      <w:pPr>
        <w:rPr>
          <w:sz w:val="32"/>
          <w:szCs w:val="32"/>
        </w:rPr>
      </w:pPr>
      <w:r w:rsidRPr="00912143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Take one 75 mg tablet daily, preferably with food to reduce stomach irritation. Adjust based on patient condition under physician guidance.</w:t>
      </w:r>
      <w:r w:rsidRPr="00912143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IN"/>
        </w:rPr>
        <w:br/>
      </w:r>
    </w:p>
    <w:p w:rsidR="00912143" w:rsidRPr="00912143" w:rsidRDefault="00912143" w:rsidP="00912143">
      <w:pPr>
        <w:rPr>
          <w:b/>
          <w:sz w:val="48"/>
          <w:szCs w:val="48"/>
          <w:u w:val="single"/>
        </w:rPr>
      </w:pPr>
      <w:r w:rsidRPr="00912143">
        <w:rPr>
          <w:b/>
          <w:sz w:val="48"/>
          <w:szCs w:val="48"/>
          <w:u w:val="single"/>
        </w:rPr>
        <w:t>3. Therapeutic Uses</w:t>
      </w:r>
    </w:p>
    <w:p w:rsidR="00912143" w:rsidRPr="00912143" w:rsidRDefault="00912143" w:rsidP="00912143">
      <w:pPr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912143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Prevention of myocardial infarction (heart attack)</w:t>
      </w:r>
    </w:p>
    <w:p w:rsidR="00912143" w:rsidRPr="00912143" w:rsidRDefault="00912143" w:rsidP="00912143">
      <w:pPr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912143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Prevention of ischemic stroke</w:t>
      </w:r>
    </w:p>
    <w:p w:rsidR="00912143" w:rsidRPr="00912143" w:rsidRDefault="00912143" w:rsidP="00912143">
      <w:pPr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912143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Management of unstable angina</w:t>
      </w:r>
    </w:p>
    <w:p w:rsidR="00912143" w:rsidRPr="00912143" w:rsidRDefault="00912143" w:rsidP="00912143">
      <w:pPr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912143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Post-angioplasty or CABG surgery</w:t>
      </w:r>
    </w:p>
    <w:p w:rsidR="00912143" w:rsidRPr="00912143" w:rsidRDefault="00912143" w:rsidP="00912143">
      <w:pPr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912143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Secondary prevention in cardiovascular disease patients</w:t>
      </w:r>
    </w:p>
    <w:p w:rsidR="00912143" w:rsidRPr="00912143" w:rsidRDefault="00912143" w:rsidP="00912143">
      <w:pPr>
        <w:rPr>
          <w:b/>
          <w:sz w:val="48"/>
          <w:szCs w:val="48"/>
          <w:u w:val="single"/>
        </w:rPr>
      </w:pPr>
    </w:p>
    <w:p w:rsidR="00912143" w:rsidRPr="00912143" w:rsidRDefault="00912143" w:rsidP="00912143">
      <w:pPr>
        <w:rPr>
          <w:b/>
          <w:sz w:val="48"/>
          <w:szCs w:val="48"/>
          <w:u w:val="single"/>
        </w:rPr>
      </w:pPr>
      <w:r w:rsidRPr="00912143">
        <w:rPr>
          <w:b/>
          <w:sz w:val="48"/>
          <w:szCs w:val="48"/>
          <w:u w:val="single"/>
        </w:rPr>
        <w:t>4. Potential Side Effects</w:t>
      </w:r>
    </w:p>
    <w:p w:rsidR="00912143" w:rsidRDefault="00912143" w:rsidP="00912143">
      <w:r w:rsidRPr="00912143">
        <w:rPr>
          <w:rStyle w:val="Strong"/>
          <w:rFonts w:ascii="Segoe UI" w:hAnsi="Segoe UI" w:cs="Segoe UI"/>
          <w:bCs w:val="0"/>
          <w:spacing w:val="1"/>
          <w:bdr w:val="single" w:sz="2" w:space="0" w:color="auto" w:frame="1"/>
        </w:rPr>
        <w:t>Common:</w:t>
      </w:r>
      <w:r w:rsidRPr="00912143">
        <w:t> Gastric irritation, nausea, vomiting, heartburn.</w:t>
      </w:r>
      <w:r w:rsidRPr="00912143">
        <w:br/>
      </w:r>
      <w:r w:rsidRPr="00912143">
        <w:rPr>
          <w:rStyle w:val="Strong"/>
          <w:rFonts w:ascii="Segoe UI" w:hAnsi="Segoe UI" w:cs="Segoe UI"/>
          <w:bCs w:val="0"/>
          <w:spacing w:val="1"/>
          <w:bdr w:val="single" w:sz="2" w:space="0" w:color="auto" w:frame="1"/>
        </w:rPr>
        <w:t>Less Common:</w:t>
      </w:r>
      <w:r w:rsidRPr="00912143">
        <w:t> GI bleeding, peptic ulcers, tinnitus, allergic reactions.</w:t>
      </w:r>
      <w:r w:rsidRPr="00912143">
        <w:br/>
      </w:r>
      <w:r w:rsidRPr="00912143">
        <w:rPr>
          <w:rStyle w:val="Strong"/>
          <w:rFonts w:ascii="Segoe UI" w:hAnsi="Segoe UI" w:cs="Segoe UI"/>
          <w:bCs w:val="0"/>
          <w:spacing w:val="1"/>
          <w:bdr w:val="single" w:sz="2" w:space="0" w:color="auto" w:frame="1"/>
        </w:rPr>
        <w:t>Rare:</w:t>
      </w:r>
      <w:r w:rsidRPr="00912143">
        <w:t> Reye's syndrome (children), hepatotoxicity, thrombocytopenia</w:t>
      </w:r>
    </w:p>
    <w:p w:rsidR="00912143" w:rsidRDefault="00912143" w:rsidP="00912143"/>
    <w:p w:rsidR="00912143" w:rsidRPr="00912143" w:rsidRDefault="00912143" w:rsidP="00912143">
      <w:pPr>
        <w:rPr>
          <w:b/>
          <w:sz w:val="48"/>
          <w:szCs w:val="48"/>
          <w:u w:val="single"/>
        </w:rPr>
      </w:pPr>
      <w:r w:rsidRPr="00912143">
        <w:rPr>
          <w:b/>
          <w:sz w:val="48"/>
          <w:szCs w:val="48"/>
          <w:u w:val="single"/>
        </w:rPr>
        <w:t>5. Patient Feedback and Complaints</w:t>
      </w:r>
    </w:p>
    <w:p w:rsidR="00912143" w:rsidRDefault="00912143" w:rsidP="00912143">
      <w:pPr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912143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lastRenderedPageBreak/>
        <w:t>Patients note better cardiovascular outcomes but report gastric discomfort and bleeding risks like easy bruising or gum/nose bleeds</w:t>
      </w:r>
      <w:r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.</w:t>
      </w:r>
    </w:p>
    <w:p w:rsidR="00912143" w:rsidRDefault="00912143" w:rsidP="00912143">
      <w:pPr>
        <w:rPr>
          <w:lang w:eastAsia="en-IN"/>
        </w:rPr>
      </w:pPr>
    </w:p>
    <w:p w:rsidR="00912143" w:rsidRPr="00912143" w:rsidRDefault="00912143" w:rsidP="00912143">
      <w:pPr>
        <w:rPr>
          <w:b/>
          <w:sz w:val="48"/>
          <w:szCs w:val="48"/>
          <w:u w:val="single"/>
        </w:rPr>
      </w:pPr>
      <w:r w:rsidRPr="00912143">
        <w:rPr>
          <w:b/>
          <w:sz w:val="48"/>
          <w:szCs w:val="48"/>
          <w:u w:val="single"/>
        </w:rPr>
        <w:t>6. Associated Risks and Contraindications</w:t>
      </w:r>
    </w:p>
    <w:p w:rsidR="00912143" w:rsidRDefault="00912143" w:rsidP="00912143">
      <w:pPr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912143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Risks include GI bleeding, </w:t>
      </w:r>
      <w:proofErr w:type="spellStart"/>
      <w:r w:rsidRPr="00912143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hemorrhagic</w:t>
      </w:r>
      <w:proofErr w:type="spellEnd"/>
      <w:r w:rsidRPr="00912143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 stroke, and drug interactions. Avoid in active peptic ulcers, bleeding disorders, NSAID hypersensitivity, severe liver/kidney issues, or children with viral infections</w:t>
      </w:r>
    </w:p>
    <w:p w:rsidR="00912143" w:rsidRPr="00181ACD" w:rsidRDefault="00912143" w:rsidP="00912143">
      <w:pPr>
        <w:rPr>
          <w:b/>
          <w:sz w:val="48"/>
          <w:szCs w:val="48"/>
          <w:u w:val="single"/>
        </w:rPr>
      </w:pPr>
    </w:p>
    <w:p w:rsidR="00912143" w:rsidRPr="00181ACD" w:rsidRDefault="00912143" w:rsidP="00181ACD">
      <w:pPr>
        <w:rPr>
          <w:b/>
          <w:sz w:val="48"/>
          <w:szCs w:val="48"/>
          <w:u w:val="single"/>
        </w:rPr>
      </w:pPr>
      <w:r w:rsidRPr="00181ACD">
        <w:rPr>
          <w:b/>
          <w:sz w:val="48"/>
          <w:szCs w:val="48"/>
          <w:u w:val="single"/>
        </w:rPr>
        <w:t>7. Comparison Table</w:t>
      </w:r>
    </w:p>
    <w:tbl>
      <w:tblPr>
        <w:tblW w:w="10866" w:type="dxa"/>
        <w:tblCellSpacing w:w="15" w:type="dxa"/>
        <w:tblInd w:w="-1197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853"/>
        <w:gridCol w:w="2846"/>
        <w:gridCol w:w="2945"/>
      </w:tblGrid>
      <w:tr w:rsidR="00912143" w:rsidTr="00181ACD">
        <w:trPr>
          <w:trHeight w:val="683"/>
          <w:tblHeader/>
          <w:tblCellSpacing w:w="15" w:type="dxa"/>
        </w:trPr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12143" w:rsidRDefault="0091214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12143" w:rsidRDefault="0091214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Ecosprin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12143" w:rsidRDefault="0091214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Clopidogrel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12143" w:rsidRDefault="0091214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Warfarin</w:t>
            </w:r>
          </w:p>
        </w:tc>
      </w:tr>
      <w:tr w:rsidR="00912143" w:rsidTr="00181ACD">
        <w:trPr>
          <w:trHeight w:val="683"/>
          <w:tblCellSpacing w:w="15" w:type="dxa"/>
        </w:trPr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Antiplatelet (NSAID)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Antiplatelet (P2Y12)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Anticoagulant</w:t>
            </w:r>
          </w:p>
        </w:tc>
      </w:tr>
      <w:tr w:rsidR="00912143" w:rsidTr="00181ACD">
        <w:trPr>
          <w:trHeight w:val="683"/>
          <w:tblCellSpacing w:w="15" w:type="dxa"/>
        </w:trPr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Mechanism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COX inhibition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ADP receptor block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Vitamin K antagonist</w:t>
            </w:r>
          </w:p>
        </w:tc>
      </w:tr>
      <w:tr w:rsidR="00912143" w:rsidTr="00181ACD">
        <w:trPr>
          <w:trHeight w:val="683"/>
          <w:tblCellSpacing w:w="15" w:type="dxa"/>
        </w:trPr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Onset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Rapid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Delayed</w:t>
            </w:r>
          </w:p>
        </w:tc>
      </w:tr>
      <w:tr w:rsidR="00912143" w:rsidTr="00181ACD">
        <w:trPr>
          <w:trHeight w:val="696"/>
          <w:tblCellSpacing w:w="15" w:type="dxa"/>
        </w:trPr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GI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Moderate</w:t>
            </w:r>
          </w:p>
        </w:tc>
      </w:tr>
      <w:tr w:rsidR="00912143" w:rsidTr="00181ACD">
        <w:trPr>
          <w:trHeight w:val="683"/>
          <w:tblCellSpacing w:w="15" w:type="dxa"/>
        </w:trPr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INR required</w:t>
            </w:r>
          </w:p>
        </w:tc>
      </w:tr>
      <w:tr w:rsidR="00912143" w:rsidTr="00181ACD">
        <w:trPr>
          <w:trHeight w:val="570"/>
          <w:tblCellSpacing w:w="15" w:type="dxa"/>
        </w:trPr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Stroke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912143" w:rsidRDefault="00912143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</w:tr>
    </w:tbl>
    <w:p w:rsidR="00181ACD" w:rsidRPr="00181ACD" w:rsidRDefault="00181ACD" w:rsidP="00181ACD">
      <w:pPr>
        <w:rPr>
          <w:b/>
          <w:sz w:val="48"/>
          <w:szCs w:val="48"/>
          <w:u w:val="single"/>
        </w:rPr>
      </w:pPr>
      <w:r w:rsidRPr="00181ACD">
        <w:rPr>
          <w:b/>
          <w:sz w:val="48"/>
          <w:szCs w:val="48"/>
          <w:u w:val="single"/>
        </w:rPr>
        <w:t>8. Clinical Cases</w:t>
      </w:r>
    </w:p>
    <w:p w:rsidR="00181ACD" w:rsidRDefault="00181ACD" w:rsidP="00181ACD"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lastRenderedPageBreak/>
        <w:t>Case 1:</w:t>
      </w:r>
      <w:r>
        <w:t> </w:t>
      </w:r>
      <w:proofErr w:type="spellStart"/>
      <w:r>
        <w:t>Mr.</w:t>
      </w:r>
      <w:proofErr w:type="spellEnd"/>
      <w:r>
        <w:t xml:space="preserve"> Ramesh (58), post-angioplasty: </w:t>
      </w:r>
      <w:proofErr w:type="spellStart"/>
      <w:r>
        <w:t>Ecosprin</w:t>
      </w:r>
      <w:proofErr w:type="spellEnd"/>
      <w:r>
        <w:t xml:space="preserve"> 75 + </w:t>
      </w:r>
      <w:proofErr w:type="spellStart"/>
      <w:r>
        <w:t>Clopidogrel</w:t>
      </w:r>
      <w:proofErr w:type="spellEnd"/>
      <w:r>
        <w:t>; no angina recurrence.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181ACD" w:rsidRDefault="00181ACD" w:rsidP="00181ACD"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Case 2:</w:t>
      </w:r>
      <w:r>
        <w:t> </w:t>
      </w:r>
      <w:proofErr w:type="spellStart"/>
      <w:r>
        <w:t>Mrs.</w:t>
      </w:r>
      <w:proofErr w:type="spellEnd"/>
      <w:r>
        <w:t xml:space="preserve"> Anita (65), post-stroke: No further events, minor bruising.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181ACD" w:rsidRDefault="00181ACD" w:rsidP="00181ACD"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Case 3:</w:t>
      </w:r>
      <w:r>
        <w:t> </w:t>
      </w:r>
      <w:proofErr w:type="spellStart"/>
      <w:r>
        <w:t>Mr.</w:t>
      </w:r>
      <w:proofErr w:type="spellEnd"/>
      <w:r>
        <w:t xml:space="preserve"> John (45), diabetes/family CAD history: Good tolerance.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181ACD" w:rsidRPr="00181ACD" w:rsidRDefault="00181ACD" w:rsidP="00181ACD">
      <w:pPr>
        <w:rPr>
          <w:b/>
          <w:sz w:val="48"/>
          <w:szCs w:val="48"/>
          <w:u w:val="single"/>
        </w:rPr>
      </w:pPr>
      <w:bookmarkStart w:id="0" w:name="_GoBack"/>
      <w:r w:rsidRPr="00181ACD">
        <w:rPr>
          <w:b/>
          <w:sz w:val="48"/>
          <w:szCs w:val="48"/>
          <w:u w:val="single"/>
        </w:rPr>
        <w:t>Conclusion</w:t>
      </w:r>
    </w:p>
    <w:bookmarkEnd w:id="0"/>
    <w:p w:rsidR="00181ACD" w:rsidRDefault="00181ACD" w:rsidP="00181ACD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Ecosprin</w:t>
      </w:r>
      <w:proofErr w:type="spellEnd"/>
      <w:r>
        <w:rPr>
          <w:rFonts w:ascii="Segoe UI" w:hAnsi="Segoe UI" w:cs="Segoe UI"/>
          <w:spacing w:val="1"/>
        </w:rPr>
        <w:t xml:space="preserve"> 75 effectively prevents thrombotic events but requires monitoring for </w:t>
      </w:r>
      <w:proofErr w:type="gramStart"/>
      <w:r>
        <w:rPr>
          <w:rFonts w:ascii="Segoe UI" w:hAnsi="Segoe UI" w:cs="Segoe UI"/>
          <w:spacing w:val="1"/>
        </w:rPr>
        <w:t>GI/bleeding risks.</w:t>
      </w:r>
      <w:proofErr w:type="gramEnd"/>
      <w:r>
        <w:rPr>
          <w:rFonts w:ascii="Segoe UI" w:hAnsi="Segoe UI" w:cs="Segoe UI"/>
          <w:spacing w:val="1"/>
        </w:rPr>
        <w:t xml:space="preserve"> Consult a physician for personalized advice.</w:t>
      </w:r>
    </w:p>
    <w:p w:rsidR="00912143" w:rsidRPr="00912143" w:rsidRDefault="00912143" w:rsidP="00912143">
      <w:pPr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</w:p>
    <w:p w:rsidR="00912143" w:rsidRPr="00912143" w:rsidRDefault="00912143" w:rsidP="00912143">
      <w:pPr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</w:p>
    <w:p w:rsidR="00912143" w:rsidRPr="00912143" w:rsidRDefault="00912143" w:rsidP="00912143">
      <w:pPr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</w:p>
    <w:p w:rsidR="00912143" w:rsidRPr="00912143" w:rsidRDefault="00912143" w:rsidP="00912143">
      <w:pPr>
        <w:rPr>
          <w:sz w:val="32"/>
          <w:szCs w:val="32"/>
        </w:rPr>
      </w:pPr>
    </w:p>
    <w:p w:rsidR="00912143" w:rsidRDefault="00912143" w:rsidP="00912143"/>
    <w:sectPr w:rsidR="00912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56BA1"/>
    <w:multiLevelType w:val="multilevel"/>
    <w:tmpl w:val="A71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06076CF"/>
    <w:multiLevelType w:val="multilevel"/>
    <w:tmpl w:val="6A24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143"/>
    <w:rsid w:val="00181ACD"/>
    <w:rsid w:val="00912143"/>
    <w:rsid w:val="00CA1F99"/>
    <w:rsid w:val="00D8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1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121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21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912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214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121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inline-flex">
    <w:name w:val="inline-flex"/>
    <w:basedOn w:val="DefaultParagraphFont"/>
    <w:rsid w:val="00181A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1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121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21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912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214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121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inline-flex">
    <w:name w:val="inline-flex"/>
    <w:basedOn w:val="DefaultParagraphFont"/>
    <w:rsid w:val="00181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0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072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541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2025-12-26T18:59:00Z</dcterms:created>
  <dcterms:modified xsi:type="dcterms:W3CDTF">2025-12-26T19:13:00Z</dcterms:modified>
</cp:coreProperties>
</file>