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METFORMIN</w:t>
      </w:r>
    </w:p>
    <w:p>
      <w:r>
        <w:t>1. INTRODUCTION:</w:t>
      </w:r>
    </w:p>
    <w:p>
      <w:r>
        <w:t>Metformin is a biguanide antihyperglycemic agent indicated for the treatment of type 2 diabetes mellitus (T2DM). It reduces hepatic glucose production (gluconeogenesis), decreases intestinal glucose absorption, and improves peripheral glucose uptake and utilization (insulin sensitivity). It is considered first-line pharmacotherapy for T2DM alongside lifestyle modification.</w:t>
      </w:r>
    </w:p>
    <w:p>
      <w:r>
        <w:t>2. CHEMICAL COMPOSITION:</w:t>
      </w:r>
    </w:p>
    <w:p>
      <w:r>
        <w:t>- Chemical Name: N,N-dimethylimidodicarbonimidic diamide (Metformin hydrochloride)</w:t>
      </w:r>
    </w:p>
    <w:p>
      <w:r>
        <w:t>- Molecular Formula: C4H11N5·HCl (metformin HCl)</w:t>
      </w:r>
    </w:p>
    <w:p>
      <w:r>
        <w:t>- Molecular Weight: 165.63 g/mol (HCl salt)</w:t>
      </w:r>
    </w:p>
    <w:p>
      <w:r>
        <w:t>- Structure: Biguanide derivative; highly hydrophilic, exists as cation at physiological pH</w:t>
      </w:r>
    </w:p>
    <w:p>
      <w:r>
        <w:t>3. RECOMMENDED DOSAGE:</w:t>
      </w:r>
    </w:p>
    <w:p>
      <w:r>
        <w:t>- Immediate-Release (IR) Adults: Start 500 mg once or twice daily with meals, or 850 mg once daily; titrate by 500 mg weekly or 850 mg every 2 weeks to effect</w:t>
      </w:r>
    </w:p>
    <w:p>
      <w:r>
        <w:t>- Usual Maintenance (IR): 1000 mg twice daily (max 2550 mg/day depending on product)</w:t>
      </w:r>
    </w:p>
    <w:p>
      <w:r>
        <w:t>- Extended-Release (XR) Adults: Start 500–1000 mg once daily with evening meal; titrate by 500 mg weekly to max 2000 mg/day</w:t>
      </w:r>
    </w:p>
    <w:p>
      <w:r>
        <w:t>- Pediatric (≥10 years): IR 500 mg twice daily; titrate to max 2000 mg/day based on glycemic response</w:t>
      </w:r>
    </w:p>
    <w:p>
      <w:r>
        <w:t>4. THERAPEUTIC USES:</w:t>
      </w:r>
    </w:p>
    <w:p>
      <w:r>
        <w:t>- First-line treatment for type 2 diabetes mellitus (glycemic control)</w:t>
      </w:r>
    </w:p>
    <w:p>
      <w:r>
        <w:t>- Weight-neutral or modest weight loss; may improve metabolic parameters</w:t>
      </w:r>
    </w:p>
    <w:p>
      <w:r>
        <w:t>- Polycystic ovary syndrome (PCOS) off-label to improve insulin resistance and ovulatory function</w:t>
      </w:r>
    </w:p>
    <w:p>
      <w:r>
        <w:t>- Prediabetes: reduces progression to diabetes in high-risk patients (use individualized)</w:t>
      </w:r>
    </w:p>
    <w:p>
      <w:r>
        <w:t>5. POTENTIAL SIDE EFFECTS:</w:t>
      </w:r>
    </w:p>
    <w:p>
      <w:r>
        <w:t>Common:</w:t>
      </w:r>
    </w:p>
    <w:p>
      <w:r>
        <w:t>- Gastrointestinal: diarrhea, nausea, abdominal discomfort, metallic taste</w:t>
      </w:r>
    </w:p>
    <w:p>
      <w:r>
        <w:t>- Reduced appetite</w:t>
      </w:r>
    </w:p>
    <w:p>
      <w:r>
        <w:t>Less Common:</w:t>
      </w:r>
    </w:p>
    <w:p>
      <w:r>
        <w:t>- Vitamin B12 deficiency with long-term use (neuropathy or anemia)</w:t>
      </w:r>
    </w:p>
    <w:p>
      <w:r>
        <w:t>Rare:</w:t>
      </w:r>
    </w:p>
    <w:p>
      <w:r>
        <w:t>- Lactic acidosis (serious, predominantly with renal/hepatic failure, hypoxia, or sepsis)</w:t>
      </w:r>
    </w:p>
    <w:p>
      <w:r>
        <w:t>6. PATIENT FEEDBACK:</w:t>
      </w:r>
    </w:p>
    <w:p>
      <w:r>
        <w:t>Patients often report improved glucose control without hypoglycemia when used as monotherapy. GI intolerance diminishes after slow titration or switching to extended-release formulations and taking with meals.</w:t>
      </w:r>
    </w:p>
    <w:p>
      <w:r>
        <w:t>7. COMMON COMPLAINTS:</w:t>
      </w:r>
    </w:p>
    <w:p>
      <w:r>
        <w:t>- Loose stools/diarrhea, especially at initiation or dose increases</w:t>
      </w:r>
    </w:p>
    <w:p>
      <w:r>
        <w:t>- Nausea and abdominal cramping</w:t>
      </w:r>
    </w:p>
    <w:p>
      <w:r>
        <w:t>- Fatigue or taste changes (metallic)</w:t>
      </w:r>
    </w:p>
    <w:p>
      <w:r>
        <w:t>8. ASSOCIATED RISKS:</w:t>
      </w:r>
    </w:p>
    <w:p>
      <w:r>
        <w:t>- Lactic acidosis risk in severe renal impairment, hypoxic states, or hepatic failure</w:t>
      </w:r>
    </w:p>
    <w:p>
      <w:r>
        <w:t>- Vitamin B12 deficiency with chronic therapy; monitor periodically</w:t>
      </w:r>
    </w:p>
    <w:p>
      <w:r>
        <w:t>- IT interactions minimal; caution with iodinated contrast (temporary hold)</w:t>
      </w:r>
    </w:p>
    <w:p>
      <w:r>
        <w:t>9. SYMPTOMS INDICATING WHEN IT SHOULD BE TAKEN:</w:t>
      </w:r>
    </w:p>
    <w:p>
      <w:r>
        <w:t>- Elevated fasting or postprandial glucose in T2DM</w:t>
      </w:r>
    </w:p>
    <w:p>
      <w:r>
        <w:t>- Insulin resistance features (central adiposity, A1C above target)</w:t>
      </w:r>
    </w:p>
    <w:p>
      <w:r>
        <w:t>10. SYMPTOMS INDICATING WHEN IT SHOULD NOT BE TAKEN:</w:t>
      </w:r>
    </w:p>
    <w:p>
      <w:r>
        <w:t>- eGFR &lt;30 mL/min/1.73 m² (contraindicated); initiate cautiously if eGFR 30–45 mL/min/1.73 m²</w:t>
      </w:r>
    </w:p>
    <w:p>
      <w:r>
        <w:t>- Acute or chronic metabolic acidosis (including DKA)</w:t>
      </w:r>
    </w:p>
    <w:p>
      <w:r>
        <w:t>- Severe hepatic disease or hypoxic states (e.g., decompensated heart failure, sepsis)</w:t>
      </w:r>
    </w:p>
    <w:p>
      <w:r>
        <w:t>11. LIMITATIONS:</w:t>
      </w:r>
    </w:p>
    <w:p>
      <w:r>
        <w:t>- GI tolerance limits rapid up-titration; XR formulation may improve adherence</w:t>
      </w:r>
    </w:p>
    <w:p>
      <w:r>
        <w:t>- Requires renal function monitoring at baseline and periodically</w:t>
      </w:r>
    </w:p>
    <w:p>
      <w:r>
        <w:t>- Not indicated for type 1 diabetes or treatment of DKA</w:t>
      </w:r>
    </w:p>
    <w:p>
      <w:r>
        <w:t>12. APPROPRIATE PATIENT DEMOGRAPHICS:</w:t>
      </w:r>
    </w:p>
    <w:p>
      <w:r>
        <w:t>- Adults with newly diagnosed or established T2DM</w:t>
      </w:r>
    </w:p>
    <w:p>
      <w:r>
        <w:t>- Adolescents (≥10 years) with T2DM under specialist care</w:t>
      </w:r>
    </w:p>
    <w:p>
      <w:r>
        <w:t>13. DIFFERENCES FROM SIMILAR PRODUCTS:</w:t>
      </w:r>
    </w:p>
    <w:p>
      <w:r>
        <w:t>Compared to Sulfonylureas (e.g., glipizide):</w:t>
      </w:r>
    </w:p>
    <w:p>
      <w:r>
        <w:t>- Lower hypoglycemia risk; weight-neutral vs. weight gain with sulfonylureas</w:t>
      </w:r>
    </w:p>
    <w:p>
      <w:r>
        <w:t>Compared to SGLT2 inhibitors:</w:t>
      </w:r>
    </w:p>
    <w:p>
      <w:r>
        <w:t>- Less CV/renal outcome benefit when used alone, but cost-effective and foundational</w:t>
      </w:r>
    </w:p>
    <w:p>
      <w:r>
        <w:t>Compared to GLP-1 receptor agonists:</w:t>
      </w:r>
    </w:p>
    <w:p>
      <w:r>
        <w:t>- Less weight loss; oral, inexpensive; complementary when combined</w:t>
      </w:r>
    </w:p>
    <w:p>
      <w:r>
        <w:t>14. CIRCUMSTANCES FOR PRESCRIPTION:</w:t>
      </w:r>
    </w:p>
    <w:p>
      <w:r>
        <w:t>- First-line therapy at T2DM diagnosis unless contraindicated</w:t>
      </w:r>
    </w:p>
    <w:p>
      <w:r>
        <w:t>- Add-on therapy to achieve A1C goals with other agents (SGLT2i/GLP-1 RA/insulin)</w:t>
      </w:r>
    </w:p>
    <w:p>
      <w:r>
        <w:t>- Insulin resistance conditions such as PCOS (off-label per clinician judgment)</w:t>
      </w:r>
    </w:p>
    <w:p>
      <w:r>
        <w:t>15. OVERDOSE MANAGEMENT:</w:t>
      </w:r>
    </w:p>
    <w:p>
      <w:r>
        <w:t>Symptoms:</w:t>
      </w:r>
    </w:p>
    <w:p>
      <w:r>
        <w:t>- Severe GI upset, hypoglycemia uncommon unless with other agents; lactic acidosis in massive ingestion or in high-risk states</w:t>
      </w:r>
    </w:p>
    <w:p>
      <w:r>
        <w:t>Management:</w:t>
      </w:r>
    </w:p>
    <w:p>
      <w:r>
        <w:t>- Supportive care; treat lactic acidosis with bicarbonate and consider hemodialysis (metformin dialyzable)</w:t>
      </w:r>
    </w:p>
    <w:p>
      <w:r>
        <w:t>- Correct precipitating hypoxia, sepsis, or renal failure</w:t>
      </w:r>
    </w:p>
    <w:p>
      <w:r>
        <w:t>16. CLINICAL CASE EXAMPLES:</w:t>
      </w:r>
    </w:p>
    <w:p>
      <w:r>
        <w:t>Case 1:</w:t>
      </w:r>
    </w:p>
    <w:p>
      <w:r>
        <w:t>Patient: Mr. A, 54 years</w:t>
      </w:r>
    </w:p>
    <w:p>
      <w:r>
        <w:t>History: Newly diagnosed T2DM, A1C 8.2%</w:t>
      </w:r>
    </w:p>
    <w:p>
      <w:r>
        <w:t>Prescription: Metformin IR 500 mg BID, titrate to 1000 mg BID over 2–4 weeks</w:t>
      </w:r>
    </w:p>
    <w:p>
      <w:r>
        <w:t>Outcome: A1C reduced to 7.1% at 3 months; mild GI symptoms resolved with slower titration</w:t>
      </w:r>
    </w:p>
    <w:p>
      <w:r>
        <w:t>Case 2:</w:t>
      </w:r>
    </w:p>
    <w:p>
      <w:r>
        <w:t>Patient: Ms. B, 38 years</w:t>
      </w:r>
    </w:p>
    <w:p>
      <w:r>
        <w:t>History: PCOS with irregular menses and insulin resistance</w:t>
      </w:r>
    </w:p>
    <w:p>
      <w:r>
        <w:t>Prescription: Metformin XR 1000 mg QHS</w:t>
      </w:r>
    </w:p>
    <w:p>
      <w:r>
        <w:t>Outcome: Improved cycle regularity and fasting glucose; advised B12 monitoring</w:t>
      </w:r>
    </w:p>
    <w:p>
      <w:r>
        <w:t>Case 3:</w:t>
      </w:r>
    </w:p>
    <w:p>
      <w:r>
        <w:t>Patient: Mr. C, 72 years</w:t>
      </w:r>
    </w:p>
    <w:p>
      <w:r>
        <w:t>History: Long-standing T2DM, eGFR 45 mL/min/1.73 m²</w:t>
      </w:r>
    </w:p>
    <w:p>
      <w:r>
        <w:t>Prescription: Continue Metformin 500 mg BID with renal monitoring; avoid up-titration</w:t>
      </w:r>
    </w:p>
    <w:p>
      <w:r>
        <w:t>Outcome: Stable renal function and glycemic control; B12 deficiency detected and treated</w:t>
      </w:r>
    </w:p>
    <w:p>
      <w:r>
        <w:t>17. COMPARISON WITH SIMILAR MEDICINES: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Metformin</w:t>
            </w:r>
          </w:p>
        </w:tc>
        <w:tc>
          <w:tcPr>
            <w:tcW w:type="dxa" w:w="1728"/>
          </w:tcPr>
          <w:p>
            <w:r>
              <w:t>Sulfonylurea</w:t>
            </w:r>
          </w:p>
        </w:tc>
        <w:tc>
          <w:tcPr>
            <w:tcW w:type="dxa" w:w="1728"/>
          </w:tcPr>
          <w:p>
            <w:r>
              <w:t>SGLT2 inhibitor</w:t>
            </w:r>
          </w:p>
        </w:tc>
        <w:tc>
          <w:tcPr>
            <w:tcW w:type="dxa" w:w="1728"/>
          </w:tcPr>
          <w:p>
            <w:r>
              <w:t>GLP-1 RA</w:t>
            </w:r>
          </w:p>
        </w:tc>
      </w:tr>
      <w:tr>
        <w:tc>
          <w:tcPr>
            <w:tcW w:type="dxa" w:w="1728"/>
          </w:tcPr>
          <w:p>
            <w:r>
              <w:t>Class</w:t>
            </w:r>
          </w:p>
        </w:tc>
        <w:tc>
          <w:tcPr>
            <w:tcW w:type="dxa" w:w="1728"/>
          </w:tcPr>
          <w:p>
            <w:r>
              <w:t>Biguanide</w:t>
            </w:r>
          </w:p>
        </w:tc>
        <w:tc>
          <w:tcPr>
            <w:tcW w:type="dxa" w:w="1728"/>
          </w:tcPr>
          <w:p>
            <w:r>
              <w:t>Insulin secretagogue</w:t>
            </w:r>
          </w:p>
        </w:tc>
        <w:tc>
          <w:tcPr>
            <w:tcW w:type="dxa" w:w="1728"/>
          </w:tcPr>
          <w:p>
            <w:r>
              <w:t>SGLT2 blocker</w:t>
            </w:r>
          </w:p>
        </w:tc>
        <w:tc>
          <w:tcPr>
            <w:tcW w:type="dxa" w:w="1728"/>
          </w:tcPr>
          <w:p>
            <w:r>
              <w:t>Incretin mimetic</w:t>
            </w:r>
          </w:p>
        </w:tc>
      </w:tr>
      <w:tr>
        <w:tc>
          <w:tcPr>
            <w:tcW w:type="dxa" w:w="1728"/>
          </w:tcPr>
          <w:p>
            <w:r>
              <w:t>Mechanism</w:t>
            </w:r>
          </w:p>
        </w:tc>
        <w:tc>
          <w:tcPr>
            <w:tcW w:type="dxa" w:w="1728"/>
          </w:tcPr>
          <w:p>
            <w:r>
              <w:t>↓ Hepatic gluconeogenesis; ↑ peripheral uptake</w:t>
            </w:r>
          </w:p>
        </w:tc>
        <w:tc>
          <w:tcPr>
            <w:tcW w:type="dxa" w:w="1728"/>
          </w:tcPr>
          <w:p>
            <w:r>
              <w:t>↑ Pancreatic insulin release</w:t>
            </w:r>
          </w:p>
        </w:tc>
        <w:tc>
          <w:tcPr>
            <w:tcW w:type="dxa" w:w="1728"/>
          </w:tcPr>
          <w:p>
            <w:r>
              <w:t>↑ Urinary glucose excretion</w:t>
            </w:r>
          </w:p>
        </w:tc>
        <w:tc>
          <w:tcPr>
            <w:tcW w:type="dxa" w:w="1728"/>
          </w:tcPr>
          <w:p>
            <w:r>
              <w:t>↑ Glucose-dependent insulin; ↓ appetite</w:t>
            </w:r>
          </w:p>
        </w:tc>
      </w:tr>
      <w:tr>
        <w:tc>
          <w:tcPr>
            <w:tcW w:type="dxa" w:w="1728"/>
          </w:tcPr>
          <w:p>
            <w:r>
              <w:t>Hypoglycemia Risk</w:t>
            </w:r>
          </w:p>
        </w:tc>
        <w:tc>
          <w:tcPr>
            <w:tcW w:type="dxa" w:w="1728"/>
          </w:tcPr>
          <w:p>
            <w:r>
              <w:t>Low (monotherapy)</w:t>
            </w:r>
          </w:p>
        </w:tc>
        <w:tc>
          <w:tcPr>
            <w:tcW w:type="dxa" w:w="1728"/>
          </w:tcPr>
          <w:p>
            <w:r>
              <w:t>High</w:t>
            </w:r>
          </w:p>
        </w:tc>
        <w:tc>
          <w:tcPr>
            <w:tcW w:type="dxa" w:w="1728"/>
          </w:tcPr>
          <w:p>
            <w:r>
              <w:t>Low</w:t>
            </w:r>
          </w:p>
        </w:tc>
        <w:tc>
          <w:tcPr>
            <w:tcW w:type="dxa" w:w="1728"/>
          </w:tcPr>
          <w:p>
            <w:r>
              <w:t>Low</w:t>
            </w:r>
          </w:p>
        </w:tc>
      </w:tr>
      <w:tr>
        <w:tc>
          <w:tcPr>
            <w:tcW w:type="dxa" w:w="1728"/>
          </w:tcPr>
          <w:p>
            <w:r>
              <w:t>Weight Effect</w:t>
            </w:r>
          </w:p>
        </w:tc>
        <w:tc>
          <w:tcPr>
            <w:tcW w:type="dxa" w:w="1728"/>
          </w:tcPr>
          <w:p>
            <w:r>
              <w:t>Neutral/↓</w:t>
            </w:r>
          </w:p>
        </w:tc>
        <w:tc>
          <w:tcPr>
            <w:tcW w:type="dxa" w:w="1728"/>
          </w:tcPr>
          <w:p>
            <w:r>
              <w:t>↑</w:t>
            </w:r>
          </w:p>
        </w:tc>
        <w:tc>
          <w:tcPr>
            <w:tcW w:type="dxa" w:w="1728"/>
          </w:tcPr>
          <w:p>
            <w:r>
              <w:t>↓</w:t>
            </w:r>
          </w:p>
        </w:tc>
        <w:tc>
          <w:tcPr>
            <w:tcW w:type="dxa" w:w="1728"/>
          </w:tcPr>
          <w:p>
            <w:r>
              <w:t>↓</w:t>
            </w:r>
          </w:p>
        </w:tc>
      </w:tr>
      <w:tr>
        <w:tc>
          <w:tcPr>
            <w:tcW w:type="dxa" w:w="1728"/>
          </w:tcPr>
          <w:p>
            <w:r>
              <w:t>Renal Considerations</w:t>
            </w:r>
          </w:p>
        </w:tc>
        <w:tc>
          <w:tcPr>
            <w:tcW w:type="dxa" w:w="1728"/>
          </w:tcPr>
          <w:p>
            <w:r>
              <w:t>Avoid if eGFR &lt;30</w:t>
            </w:r>
          </w:p>
        </w:tc>
        <w:tc>
          <w:tcPr>
            <w:tcW w:type="dxa" w:w="1728"/>
          </w:tcPr>
          <w:p>
            <w:r>
              <w:t>Dose adjust; risk of hypoglycemia</w:t>
            </w:r>
          </w:p>
        </w:tc>
        <w:tc>
          <w:tcPr>
            <w:tcW w:type="dxa" w:w="1728"/>
          </w:tcPr>
          <w:p>
            <w:r>
              <w:t>Efficacy declines with low eGFR</w:t>
            </w:r>
          </w:p>
        </w:tc>
        <w:tc>
          <w:tcPr>
            <w:tcW w:type="dxa" w:w="1728"/>
          </w:tcPr>
          <w:p>
            <w:r>
              <w:t>No use in some severe GI/renal settings</w:t>
            </w:r>
          </w:p>
        </w:tc>
      </w:tr>
    </w:tbl>
    <w:p>
      <w:r>
        <w:t>18. CONCLUSION:</w:t>
      </w:r>
    </w:p>
    <w:p>
      <w:r>
        <w:t>Metformin is the foundation of T2DM management due to efficacy, safety, low cost, and weight neutrality. Clinical vigilance for GI tolerance, renal function, B12 status, and lactic acidosis risk factors ensures optimal outcomes.</w:t>
      </w:r>
    </w:p>
    <w:p>
      <w:r>
        <w:t>This report is intended for clinical reference purposes only. Always consult a licensed physician for medical advice and prescription.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