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Stage 01 — Technical Stack Specification</w:t>
      </w:r>
    </w:p>
    <w:p>
      <w:pPr>
        <w:spacing w:after="80"/>
      </w:pPr>
      <w:r>
        <w:rPr>
          <w:color w:val="555555"/>
          <w:sz w:val="22"/>
          <w:szCs w:val="22"/>
        </w:rPr>
        <w:t xml:space="preserve">Financial Knowledge Graph &amp; Adaptive Questioning (v1.1)</w:t>
      </w:r>
    </w:p>
    <w:p>
      <w:pPr>
        <w:pBdr>
          <w:bottom w:val="single" w:color="2F5496" w:sz="6" w:space="4"/>
        </w:pBdr>
        <w:spacing w:after="240"/>
      </w:pPr>
      <w:r>
        <w:rPr>
          <w:color w:val="777777"/>
          <w:sz w:val="18"/>
          <w:szCs w:val="18"/>
        </w:rPr>
        <w:t xml:space="preserve">DecisionTwin — HackPSU Fall 2026 (FNB Challenge · Nittany AI Challenge) · Architecture v1.1 (post-audit) · 2026-10-24</w:t>
      </w:r>
    </w:p>
    <w:p>
      <w:pPr>
        <w:pStyle w:val="Heading1"/>
        <w:spacing w:after="160" w:before="360"/>
      </w:pPr>
      <w:r>
        <w:t xml:space="preserve">0. Version 1.1 audit revision</w:t>
      </w:r>
    </w:p>
    <w:p>
      <w:pPr>
        <w:spacing w:after="120"/>
      </w:pPr>
      <w:r>
        <w:t xml:space="preserve">This specification was revised after the six-stage architecture audit of 2026-10-24 (review: reviews/stage_01_review.md; authoritative schemas: supervisor/api_and_data_contracts.md v1.1). The table lists what changed and why; the sections below reflect v1.1.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8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Change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What changed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CH-12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Per-analysis readiness and blocking-first priority replace the additive score and the global sensitivity stop rule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 questions could outrank required ones; the v1.0 stop rule contradicted its own persona example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CH-09, CH-13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 state = status × verification; declined state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 confirmation is not verification; skipped questions looped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CH-10, CH-11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Deficit acknowledgement (H01) instead of a contradiction rule; debt items with their own status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 hardship was treated as bad data; missing debt payments could be summed as zero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CH-05, CH-15, CH-16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facts: replaces current vehicle, current vehicle costs, debts paid off by the transaction, down-payment source, low-month income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Prevents double counting; supports correct reserve and stress math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CH-14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Two-track intake: offer extracted in parallel; loan terms never asked as questions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Removes serialized latency; readiness is knowable during the interview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1. Stage overview</w:t>
      </w:r>
    </w:p>
    <w:p>
      <w:pPr>
        <w:spacing w:after="120"/>
      </w:pPr>
      <w:r>
        <w:t xml:space="preserve">Stage 1 decides which question to ask next and when core questioning is complete. It keeps financial facts in an append-only ledger with provenance and a separate verification level, derives a typed dependency graph from the engine's required-inputs map, computes readiness for each analysis the user selected, and asks blocking questions (those that unlock a selected analysis) before optional refinements. The only AI use is parsing free-text answers (paid data mode only); typed widgets are the deterministic fallback.</w:t>
      </w:r>
    </w:p>
    <w:p>
      <w:pPr>
        <w:pStyle w:val="Heading1"/>
        <w:spacing w:after="160" w:before="360"/>
      </w:pPr>
      <w:r>
        <w:t xml:space="preserve">2. Selected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Selection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Why selected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Graph representation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NetworkX DiGraph generated from ontology.yaml and the engine REQUIRED_INPUTS map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About 40 nodes; reachability only; cannot drift from engine needs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 storage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SQLite via SQLModel (append-only ledger with status and verification)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Provenance, supersession and verification history with no server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Pydantic v2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Typed fact keys, Decimal parsing, unit normalization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Answer parsing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Gemini structured output (JSON Schema), paid data mode only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Typed extraction from free text; unpaid-tier terms prohibit sensitive data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Priority and readiness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Pure Python: AnalysisReadiness; sort by (blocking, dependency order, key)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Deterministic; required questions can never be outranked; no designer bounds in ranking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3. Frameworks and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Library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Version selection criteria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networkx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DAG utilities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 stable 3.x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pydantic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Schemas and validation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v2.x (matches FastAPI)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sqlmodel / sqlalchemy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Ledger persistence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Latest stable compatible with Pydantic v2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google-genai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SDK for answer parsing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Latest stable; structured-output support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pyyaml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Ontology and policy config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 stable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Pin exact versions in lockfiles at checkpoint CP0; prefer releases at least two weeks old; record chosen versions in the repository README. Versions listed below are selection criteria, not verified pins.</w:t>
      </w:r>
    </w:p>
    <w:p>
      <w:pPr>
        <w:pStyle w:val="Heading1"/>
        <w:spacing w:after="160" w:before="360"/>
      </w:pPr>
      <w:r>
        <w:t xml:space="preserve">4. Infrastructure requirements</w:t>
      </w:r>
    </w:p>
    <w:p>
      <w:pPr>
        <w:spacing w:after="120"/>
      </w:pPr>
      <w:r>
        <w:t xml:space="preserve">None beyond the shared FastAPI process and SQLite file. Ranking runs in under 50 ms; the only external dependency is the model provider for free-text parsing, which is optional.</w:t>
      </w:r>
    </w:p>
    <w:p>
      <w:pPr>
        <w:pStyle w:val="Heading1"/>
        <w:spacing w:after="160" w:before="360"/>
      </w:pPr>
      <w:r>
        <w:t xml:space="preserve">5. AI models and APIs</w:t>
      </w:r>
    </w:p>
    <w:p>
      <w:pPr>
        <w:spacing w:after="120"/>
      </w:pPr>
      <w:r>
        <w:t xml:space="preserve">One call type: answer parsing. Input: the user's free-text answer plus the expected fact keys. Output schema: a list of facts with key, value, unit and uncertainty, a flag for unlisted debts, and an optional clarification. Timeout 20 s, one retry on malformed output, then the typed widget. Model: the current Flash-tier Gemini model as listed on the models page (string to be confirmed on event day).</w:t>
      </w:r>
    </w:p>
    <w:p>
      <w:pPr>
        <w:pStyle w:val="Heading1"/>
        <w:spacing w:after="160" w:before="360"/>
      </w:pPr>
      <w:r>
        <w:t xml:space="preserve">6. Algorithm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Readiness: for each selected analysis (loan cost, cash-flow impact, reserve impact, stress test, alternatives, DTI, equity timeline), list required facts and which are missing, declined or awaiting the offer.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Priority: blocking questions first in configured dependency order (take-home, essentials, debts, debt items, savings, down-payment source, low month), then optional refinements in a curated order. No numeric score.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Stopping: core questioning ends when every selected analysis is available or its blockers are declined or awaiting the offer.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Refinement effect is display-only, shown only when both bounds are user-derived (e.g., flexible spending between zero and monthly leftover).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Rules: hard contradictions trigger clarification; a deficit (H01) or implausible value (H02) is acknowledged once and never blocks.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Declined facts are never re-asked unless reopened; estimates are never re-asked automatically.</w:t>
      </w:r>
    </w:p>
    <w:p>
      <w:pPr>
        <w:pStyle w:val="Heading1"/>
        <w:spacing w:after="160" w:before="360"/>
      </w:pPr>
      <w:r>
        <w:t xml:space="preserve">7. Data architecture</w:t>
      </w:r>
    </w:p>
    <w:p>
      <w:pPr>
        <w:spacing w:after="120"/>
      </w:pPr>
      <w:r>
        <w:t xml:space="preserve">Tables: facts (fact_id, session_id, key, value, status, verification, source_kind, uncertainty, evidence, supersedes, timestamps), question_log (question_id, fact_key, priority_class, blocks_analyses, asked/answered/declined timestamps), acknowledgements (rule_id, fact_ids, time). The ontology is versioned YAML; debt items are stored as item facts with their own status.</w:t>
      </w:r>
    </w:p>
    <w:p>
      <w:pPr>
        <w:pStyle w:val="Heading1"/>
        <w:spacing w:after="160" w:before="360"/>
      </w:pPr>
      <w:r>
        <w:t xml:space="preserve">8. Interface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3: REQUIRED_INPUTS map (readiness) and partial computation (refinement-effect display).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2: loan terms arrive only through a verified or manual LoanOffer; readiness shows awaiting_offer while extraction runs.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6: one question at a time with why_we_ask, skip, decline and estimate controls, the readiness panel and the refinement list.</w:t>
      </w:r>
    </w:p>
    <w:p>
      <w:pPr>
        <w:pStyle w:val="Heading1"/>
        <w:spacing w:after="160" w:before="360"/>
      </w:pPr>
      <w:r>
        <w:t xml:space="preserve">9. Deployment requirements</w:t>
      </w:r>
    </w:p>
    <w:p>
      <w:pPr>
        <w:spacing w:after="120"/>
      </w:pPr>
      <w:r>
        <w:t xml:space="preserve">Part of the api container; no additional services. Config files are mounted read-only.</w:t>
      </w:r>
    </w:p>
    <w:p>
      <w:pPr>
        <w:pStyle w:val="Heading1"/>
        <w:spacing w:after="160" w:before="360"/>
      </w:pPr>
      <w:r>
        <w:t xml:space="preserve">10. Security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identity fields in the ontology; the parser schema cannot store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text reaches the LLM only in paid data mode, after regex screening for SSN and account numbers.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Savings is asked only when a selected analysis needs it; credit band and employment detail only for an explicit user goal.</w:t>
      </w:r>
    </w:p>
    <w:p>
      <w:pPr>
        <w:pStyle w:val="Heading1"/>
        <w:spacing w:after="160" w:before="360"/>
      </w:pPr>
      <w:r>
        <w:t xml:space="preserve">11. Technology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Weighted score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Reason not selected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Static questionnaire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3.80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Cannot adapt, explain, or avoid unnecessary questions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Neo4j property graph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3.15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Server, driver and ops cost without a query need at this scale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Bayesian network / EVOI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2.70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data for priors; no agreed utility; hard to explain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LLM-driven questioning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3.00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Repeats questions, unauditable, cannot prove completeness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Dependency graph + readiness and blocking-first priority (selected, v1.1)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4.60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v1.0 sensitivity-weighted ranking replaced in the audit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12. Cost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Estimate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Assumption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Answer-parsing calls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negligible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About 400 tokens per call; a few hundred calls during the event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Compute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In-process; under 50 ms per ranking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SQLite file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Cost figures are estimates for planning. Model prices must be read from the provider pricing page on the day; hackathon volume is expected to fall within free-tier or sponsor credits.</w:t>
      </w:r>
    </w:p>
    <w:p>
      <w:pPr>
        <w:pStyle w:val="Heading1"/>
        <w:spacing w:after="160" w:before="360"/>
      </w:pPr>
      <w:r>
        <w:t xml:space="preserve">13. Implementation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Checkpoint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Ontology v1.1, ledger with status and verification, typed facts, readiness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CP1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Facts flow into the engine for the vertical slice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Blocking-first priority, why_we_ask, H01/H02, debt items, two-track coordination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CP2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Adaptive intake visible in the UI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answer parser (paid mode) with widget fallback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CP2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 text accepted when permitted; offline mode works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Persona, re-ask, priority-invariant and readiness-parity tests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CP2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A-01r to A-04 and A-20 to A-23 green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14. Testing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 persona sequences (A-01r).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1,000 sessions with skips and declines: zero re-asks (A-03r).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refinement question while a blocking one exists (A-20).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Deficit acknowledgement (A-21); debt item completeness (A-22); readiness parity with engine REQUIRED_INPUTS (A-23).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Parser set of 40 answers, reported as measured.</w:t>
      </w:r>
    </w:p>
    <w:p>
      <w:pPr>
        <w:pStyle w:val="Heading1"/>
        <w:spacing w:after="160" w:before="360"/>
      </w:pPr>
      <w:r>
        <w:t xml:space="preserve">15. Final recommendation</w:t>
      </w:r>
    </w:p>
    <w:p>
      <w:pPr>
        <w:spacing w:after="120"/>
      </w:pPr>
      <w:r>
        <w:t xml:space="preserve">Build the ledger and readiness first (typed widgets only), then blocking-first priority and two-track intake, then the LLM parser where the data mode allows it. Describe the capability precisely: a typed dependency graph that knows which analyses can run, asks only what unlocks them, and explains why. It is not a graph database and not an autonomous agent.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DecisionTwin architecture research ·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01 — Technical Stack Specification</dc:title>
  <dc:creator>DecisionTwin Supervisor Agent</dc:creator>
  <cp:lastModifiedBy>Un-named</cp:lastModifiedBy>
  <cp:revision>1</cp:revision>
  <dcterms:created xsi:type="dcterms:W3CDTF">2026-10-24T23:19:43.573Z</dcterms:created>
  <dcterms:modified xsi:type="dcterms:W3CDTF">2026-10-24T23:19:43.573Z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