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40"/>
          <w:szCs w:val="40"/>
        </w:rPr>
        <w:t xml:space="preserve">Stage 02 — Technical Stack Specification</w:t>
      </w:r>
    </w:p>
    <w:p>
      <w:pPr>
        <w:spacing w:after="80"/>
      </w:pPr>
      <w:r>
        <w:rPr>
          <w:color w:val="555555"/>
          <w:sz w:val="22"/>
          <w:szCs w:val="22"/>
        </w:rPr>
        <w:t xml:space="preserve">AI Financial Document Intelligence (v1.1)</w:t>
      </w:r>
    </w:p>
    <w:p>
      <w:pPr>
        <w:pBdr>
          <w:bottom w:val="single" w:color="2F5496" w:sz="6" w:space="4"/>
        </w:pBdr>
        <w:spacing w:after="240"/>
      </w:pPr>
      <w:r>
        <w:rPr>
          <w:color w:val="777777"/>
          <w:sz w:val="18"/>
          <w:szCs w:val="18"/>
        </w:rPr>
        <w:t xml:space="preserve">DecisionTwin — HackPSU Fall 2026 (FNB Challenge · Nittany AI Challenge) · Architecture v1.1 (post-audit) · 2026-10-24</w:t>
      </w:r>
    </w:p>
    <w:p>
      <w:pPr>
        <w:pStyle w:val="Heading1"/>
        <w:spacing w:after="160" w:before="360"/>
      </w:pPr>
      <w:r>
        <w:t xml:space="preserve">0. Version 1.1 audit revision</w:t>
      </w:r>
    </w:p>
    <w:p>
      <w:pPr>
        <w:spacing w:after="120"/>
      </w:pPr>
      <w:r>
        <w:t xml:space="preserve">This specification was revised after the six-stage architecture audit of 2026-10-24 (review: reviews/stage_02_review.md; authoritative schemas: supervisor/api_and_data_contracts.md v1.1). The table lists what changed and why; the sections below reflect v1.1.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Change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changed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CH-06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 (note amount), cash down, itemization, trade-in equity and rolled-in negative equity added to the offer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 Z: amount financed = principal − prepaid finance charges; computing on amount financed understates payment and cost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CH-07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Label co-location, deterministic TILA-box reader (independent second source), offer chooser, itemization reconciliation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consistent-but-wrong extraction (e.g., a different offer column) passes every arithmetic identity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CH-08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LLM_DATA_MODE (paid, synthetic_only, off); inline requests only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Gemini unpaid-tier terms: content may be used to improve products and read by human reviewers; do not submit sensitive data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CH-34 to CH-36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 confidence internal only; product type from booleans with quotes; manual entry gets the same checks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Uncalibrated confidence misleads; negations caused false blocks; typos bypassed checks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Scope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Scanned and photo documents moved to enhanced scope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 budget; text PDFs carry the verifiable path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1. Stage overview</w:t>
      </w:r>
    </w:p>
    <w:p>
      <w:pPr>
        <w:spacing w:after="120"/>
      </w:pPr>
      <w:r>
        <w:t xml:space="preserve">Stage 2 turns an uploaded loan document into a LoanOffer whose terms are traceable and checked. Each term carries label-anchored verbatim evidence, is cross-checked by an independent deterministic reader, and passes arithmetic and itemization checks. The user acts on each term before any calculation. The pipeline: a data-mode gate, PyMuPDF text extraction, one schema-constrained Gemini call (label, value, page and quote per field), a deterministic TILA-box reader, a verifier, an offer chooser for multi-option documents, and a verification table. Manual entry is the fallback, with the same output shape and the same checks.</w:t>
      </w:r>
    </w:p>
    <w:p>
      <w:pPr>
        <w:pStyle w:val="Heading1"/>
        <w:spacing w:after="160" w:before="360"/>
      </w:pPr>
      <w:r>
        <w:t xml:space="preserve">2. Selected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Selection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Why selected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 parsing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PyMuPDF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 with coordinates; re-save strips active content; no external binaries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Extraction model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Gemini API structured output (inline requests)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 Schema outputs with label, value, page, quote; verified 2026-10-24; sponsor track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Evidence matching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RapidFuzz + label co-location rule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Proves the quote exists and sits next to the correct field label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Independent reader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Regex extraction after the five federal TILA labels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Second, non-LLM source; disagreement becomes a visible conflict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 3 engine (F00 principal, F01 payment, F05 APR on amount financed)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duplicated arithmetic; APR outside 1/8 point is a warning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mode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LLM_DATA_MODE configuration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 documents only on paid quota; synthetic samples otherwise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3. Frameworks and libraries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Library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selection criteria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pymupdf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Text, words, pixmaps, sanitization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stable 1.x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google-genai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Extraction call with response schema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Latest stable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rapidfuzz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Fuzzy quote matching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stable 3.x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pydantic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Extraction schema and validation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v2.x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python-multipart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Upload handling in FastAPI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stable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Pin exact versions in lockfiles at checkpoint CP0; prefer releases at least two weeks old; record chosen versions in the repository README. Versions listed below are selection criteria, not verified pins.</w:t>
      </w:r>
    </w:p>
    <w:p>
      <w:pPr>
        <w:pStyle w:val="Heading1"/>
        <w:spacing w:after="160" w:before="360"/>
      </w:pPr>
      <w:r>
        <w:t xml:space="preserve">4. Infrastructure requirements</w:t>
      </w:r>
    </w:p>
    <w:p>
      <w:pPr>
        <w:spacing w:after="120"/>
      </w:pPr>
      <w:r>
        <w:t xml:space="preserve">A session-scoped temporary directory for uploads (deleted after extraction), outbound HTTPS to the model provider, and the shared SQLite database for page text, terms and offers. Extraction runs as a background task with polling; no queue is required for the MVP.</w:t>
      </w:r>
    </w:p>
    <w:p>
      <w:pPr>
        <w:pStyle w:val="Heading1"/>
        <w:spacing w:after="160" w:before="360"/>
      </w:pPr>
      <w:r>
        <w:t xml:space="preserve">5. AI models and APIs</w:t>
      </w:r>
    </w:p>
    <w:p>
      <w:pPr>
        <w:spacing w:after="120"/>
      </w:pPr>
      <w:r>
        <w:t xml:space="preserve">One call type: document extraction. Input: redacted page text (image mode is enhanced scope). Output: LoanDocumentExtraction v1.1 with value, label text, value text, page and quote per field, the number of offers in the document, itemization and product-type booleans. Temperature 0; timeout 30 s; one retry; untrusted-data framing; no tools; inline requests only. User documents only in paid data mode; in synthetic_only mode only bundled sample documents are accepted. Gemini limits verified 2026-10-24: up to 1,000 PDF pages, 258 tokens per page, inline requests up to 20 MB.</w:t>
      </w:r>
    </w:p>
    <w:p>
      <w:pPr>
        <w:pStyle w:val="Heading1"/>
        <w:spacing w:after="160" w:before="360"/>
      </w:pPr>
      <w:r>
        <w:t xml:space="preserve">6. Algorithm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Data-mode gate first; text PDFs only in the MVP (low text density routes to manual entry).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Quote verification (exact, normalized, fuzzy ≥ 90) plus a label anchor: the label must match a synonym list and sit within 120 characters of the 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reader: regex values after the five TILA labels; agreement supports evidence_matched, disagreement sets the field to conflicting with both candidates.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Offer chooser when the document contains more than one offer.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Arithmetic and itemization: AF + FC ≈ TOP; payment × term ≈ TOP; cash price + taxes/fees + add-ons + payoff − down − trade value ≈ AF + financed PFC; APR recomputed on amount financed (warn outside 1/8 point).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 type blocks only when an extracted boolean is true with a quote; keyword-only hits ask the user; negations never block.</w:t>
      </w:r>
    </w:p>
    <w:p>
      <w:pPr>
        <w:pStyle w:val="Heading1"/>
        <w:spacing w:after="160" w:before="360"/>
      </w:pPr>
      <w:r>
        <w:t xml:space="preserve">7. Data architecture</w:t>
      </w:r>
    </w:p>
    <w:p>
      <w:pPr>
        <w:spacing w:after="120"/>
      </w:pPr>
      <w:r>
        <w:t xml:space="preserve">Tables: documents (doc_id, session_id, status, page_count, offers_count, created_at, deleted_at), document_pages (doc_id, page, text), terms (doc_id, term_key, value, status, verification, evidence with label and quote, checks, user_action, alternatives_found), offers (offer_id, session_id, origin, terms JSON, itemization, derived values, offer_choice, ready_for_calculation, unsupported_features). Raw files are never stored in the database.</w:t>
      </w:r>
    </w:p>
    <w:p>
      <w:pPr>
        <w:pStyle w:val="Heading1"/>
        <w:spacing w:after="160" w:before="360"/>
      </w:pPr>
      <w:r>
        <w:t xml:space="preserve">8. Interface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3: F00 principal resolution, F01 payment with disclosed-payment comparison, F05 APR on amount financed.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1: readiness shows awaiting_offer while extraction runs; loan terms are never interview questions.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6: verification table with label, value, quote and page; check states; two-candidate conflicts; offer chooser; payment-mismatch explanation; data-mode banner.</w:t>
      </w:r>
    </w:p>
    <w:p>
      <w:pPr>
        <w:pStyle w:val="Heading1"/>
        <w:spacing w:after="160" w:before="360"/>
      </w:pPr>
      <w:r>
        <w:t xml:space="preserve">9. Deployment requirements</w:t>
      </w:r>
    </w:p>
    <w:p>
      <w:pPr>
        <w:spacing w:after="120"/>
      </w:pPr>
      <w:r>
        <w:t xml:space="preserve">GEMINI_API_KEY in the environment; temp directory writable; 10 MB request body limit configured in the API server and any reverse proxy.</w:t>
      </w:r>
    </w:p>
    <w:p>
      <w:pPr>
        <w:pStyle w:val="Heading1"/>
        <w:spacing w:after="160" w:before="360"/>
      </w:pPr>
      <w:r>
        <w:t xml:space="preserve">10. Security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LLM_DATA_MODE: real user documents only on paid Gemini quota (unpaid-tier terms prohibit sensitive data; verified 2026-10-24); synthetic samples otherwise.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Magic-byte validation; encrypted PDFs rejected; re-save through PyMuPDF to strip JavaScript and attachments.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Regex redaction of SSN, account-like numbers, email and phone; inline requests only (no provider file storage).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Prompt-injection controls: untrusted framing, schema-only output, label-anchored evidence, independent reader, free-text screening, no tool 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Files deleted after extraction; all session data purged on delete or 24-hour TTL.</w:t>
      </w:r>
    </w:p>
    <w:p>
      <w:pPr>
        <w:pStyle w:val="Heading1"/>
        <w:spacing w:after="160" w:before="360"/>
      </w:pPr>
      <w:r>
        <w:t xml:space="preserve">11. Technology trade-offs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Weighted score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Reason not selected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PyMuPDF + regex rules only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Brittle across layouts for non-TILA fields (kept as the TILA second reader)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Gemini-only extraction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3.75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independent verification of numbers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Second LLM self-check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Correlated errors; doubled latency (audit)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 Document AI / Textract + rules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3.25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Account, IAM and billing setup during the event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Hybrid + label anchors + independent reader + chooser (selected, v1.1)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12. Cost estimates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Estimate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Assumption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Extraction per document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about 4k input tokens text mode; +258 tokens per page in image mode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Six-page contract; Flash-tier model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Event-day total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within free tier or credits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 of documents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Production per document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order of cents (to be verified on the pricing page)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Flash-tier pricing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Cost figures are estimates for planning. Model prices must be read from the provider pricing page on the day; hackathon volume is expected to fall within free-tier or sponsor credits.</w:t>
      </w:r>
    </w:p>
    <w:p>
      <w:pPr>
        <w:pStyle w:val="Heading1"/>
        <w:spacing w:after="160" w:before="360"/>
      </w:pPr>
      <w:r>
        <w:t xml:space="preserve">13. Implementation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4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Milestone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Checkpoint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offer entry with checks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CP1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Vertical slice uses stated terms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Data-mode gate, text extraction, extraction call, TILA reader, verifier, chooser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CP2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Synthetic PDF flows end to end with verification table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Evaluation: ground truth, injection, principal basis, negation, data mode, manual typo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CP2–CP3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A-05r, A-06r, A-14, A-24 to A-27 reported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Image mode with consent (enhanced)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after CP3 only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Scanned documents supported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14. Testing strategy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four synthetic text-PDF contracts with labeled ground truth: a two-option dealer worksheet, a $500 financed prepaid-charge contract, a negative-equity trade-in and a no-balloon statement.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blank-field document must yield null, never a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reader disagreement surfaces as conflicting; the chooser appears for multi-offer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injection document changes no value and is logged.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Accuracy is reported as measured with the sample size.</w:t>
      </w:r>
    </w:p>
    <w:p>
      <w:pPr>
        <w:pStyle w:val="Heading1"/>
        <w:spacing w:after="160" w:before="360"/>
      </w:pPr>
      <w:r>
        <w:t xml:space="preserve">15. Final recommendation</w:t>
      </w:r>
    </w:p>
    <w:p>
      <w:pPr>
        <w:spacing w:after="120"/>
      </w:pPr>
      <w:r>
        <w:t xml:space="preserve">Ship manual entry with checks first, then the hybrid pipeline for text PDFs; scans are enhanced scope. The verification gate is the feature to demonstrate: label-anchored evidence, an independent reader, arithmetic and itemization checks, and explicit user action. It makes the AI reading of a contract checkable rather than merely convenient.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DecisionTwin architecture research · 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2F5496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02 — Technical Stack Specification</dc:title>
  <dc:creator>DecisionTwin Supervisor Agent</dc:creator>
  <cp:lastModifiedBy>Un-named</cp:lastModifiedBy>
  <cp:revision>1</cp:revision>
  <dcterms:created xsi:type="dcterms:W3CDTF">2026-10-24T23:19:43.778Z</dcterms:created>
  <dcterms:modified xsi:type="dcterms:W3CDTF">2026-10-24T23:19:43.778Z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