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Stage 03 — Technical Stack Specification</w:t>
      </w:r>
    </w:p>
    <w:p>
      <w:pPr>
        <w:spacing w:after="80"/>
      </w:pPr>
      <w:r>
        <w:rPr>
          <w:color w:val="555555"/>
          <w:sz w:val="22"/>
          <w:szCs w:val="22"/>
        </w:rPr>
        <w:t xml:space="preserve">Financial Modeling &amp; Computational Engine (v1.1)</w:t>
      </w:r>
    </w:p>
    <w:p>
      <w:pPr>
        <w:pBdr>
          <w:bottom w:val="single" w:color="2F5496" w:sz="6" w:space="4"/>
        </w:pBdr>
        <w:spacing w:after="240"/>
      </w:pPr>
      <w:r>
        <w:rPr>
          <w:color w:val="777777"/>
          <w:sz w:val="18"/>
          <w:szCs w:val="18"/>
        </w:rPr>
        <w:t xml:space="preserve">DecisionTwin — HackPSU Fall 2026 (FNB Challenge · Nittany AI Challenge) · Architecture v1.1 (post-audit) · 2026-10-24</w:t>
      </w:r>
    </w:p>
    <w:p>
      <w:pPr>
        <w:pStyle w:val="Heading1"/>
        <w:spacing w:after="160" w:before="360"/>
      </w:pPr>
      <w:r>
        <w:t xml:space="preserve">0. Version 1.1 audit revision</w:t>
      </w:r>
    </w:p>
    <w:p>
      <w:pPr>
        <w:spacing w:after="120"/>
      </w:pPr>
      <w:r>
        <w:t xml:space="preserve">This specification was revised after the six-stage architecture audit of 2026-10-24 (review: reviews/stage_03_review.md; authoritative schemas: supervisor/api_and_data_contracts.md v1.1). The table lists what changed and why; the sections below reflect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860"/>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Change</w:t>
            </w:r>
          </w:p>
        </w:tc>
        <w:tc>
          <w:tcPr>
            <w:tcW w:type="dxa" w:w="4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What changed</w:t>
            </w:r>
          </w:p>
        </w:tc>
        <w:tc>
          <w:tcPr>
            <w:tcW w:type="dxa" w:w="38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CH-01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F00 resolves the principal; F01 computes the payment on the principal and compares it with the disclosed payment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v1.0 computed on amount financed: −$9.38/month and −$562.68 total for $500 of financed fees on $20,000 at 4.75%/60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CH-02</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F05 solves APR on amount financed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v1.0 subtracted prepaid charges twice (6.879% instead of 5.796%)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CH-03, CH-19</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F04 total paid through the deal uses trade-in equity with a breakdown; finance charge vs interest named separately</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Gross trade value overstated cost by up to $8,000 in the test cases; "total interest" was really the finance charge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CH-04, CH-05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F13 savings after purchase; F14 incremental vehicle costs; debts paid off by the transaction removed</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Reserve ignored the down payment (1.27 vs 0.32 months); replaced car costs were double-counted ($260/month)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CH-17, CH-18, CH-20</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assumed depreciation; flags v1.1; published REQUIRED_INPUTS map</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An assumed curve fabricated timelines; one threshold lacked a source; Stage 1 needs one requirements source</w:t>
            </w:r>
          </w:p>
        </w:tc>
      </w:tr>
    </w:tbl>
    <w:p>
      <w:pPr>
        <w:spacing w:after="120"/>
      </w:pPr>
    </w:p>
    <w:p>
      <w:pPr>
        <w:pStyle w:val="Heading1"/>
        <w:spacing w:after="160" w:before="360"/>
      </w:pPr>
      <w:r>
        <w:t xml:space="preserve">1. Stage overview</w:t>
      </w:r>
    </w:p>
    <w:p>
      <w:pPr>
        <w:spacing w:after="120"/>
      </w:pPr>
      <w:r>
        <w:t xml:space="preserve">Stage 3 is the single source of financial arithmetic. It resolves the loan principal and computes the payment, amortization, total of payments, finance charge and interest, total paid through the deal, APR recomputation, loan-to-value and negative equity at start, payment-to-income, DTI, monthly leftover before and after, savings after purchase, reserve months, and an equity timeline only from user estimates. It is pure Python using the decimal module with explicit rounding. It has no network or LLM dependency, propagates missing and estimated statuses, and publishes REQUIRED_INPUTS and month_net for the other stages. Reference figures were re-verified on 2026-10-24.</w:t>
      </w:r>
    </w:p>
    <w:p>
      <w:pPr>
        <w:pStyle w:val="Heading1"/>
        <w:spacing w:after="160" w:before="360"/>
      </w:pPr>
      <w:r>
        <w:t xml:space="preserve">2. Selected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Component</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Selection</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Why selected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Numerics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decimal (28-digit context, ROUND_HALF_UP at cents)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Exact cents; reproduces CFPB vectors; no float drift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Engine structure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Pure functions in engine/ (principal, loan, transaction, cashflow, ratios, equity, flags, requirements)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Importable by Stages 1, 2, 4, 5 without I/O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Configuration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assumptions.yaml validated by Pydantic</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Flags and assumptions with citations, served to the UI</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Tests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pytest with golden files; hypothesis optional</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Byte-equal reproducibility; property tests</w:t>
            </w:r>
          </w:p>
        </w:tc>
      </w:tr>
    </w:tbl>
    <w:p>
      <w:pPr>
        <w:spacing w:after="120"/>
      </w:pPr>
    </w:p>
    <w:p>
      <w:pPr>
        <w:pStyle w:val="Heading1"/>
        <w:spacing w:after="160" w:before="360"/>
      </w:pPr>
      <w:r>
        <w:t xml:space="preserve">3. Frameworks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Library</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Role</w:t>
            </w:r>
          </w:p>
        </w:tc>
        <w:tc>
          <w:tcPr>
            <w:tcW w:type="dxa" w:w="3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Version selection criteria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decimal (stdlib)</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All arithmetic</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3.12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pydantic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Config validation and result schemas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v2.x</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pytest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Reference and property tests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Current stable 8.x</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hypothesis (optional)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Property-based tests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Current stable</w:t>
            </w:r>
          </w:p>
        </w:tc>
      </w:tr>
    </w:tbl>
    <w:p>
      <w:pPr>
        <w:spacing w:after="120"/>
      </w:pPr>
    </w:p>
    <w:p>
      <w:pPr>
        <w:spacing w:after="120"/>
      </w:pPr>
      <w:r>
        <w:rPr>
          <w:i/>
          <w:iCs/>
          <w:color w:val="555555"/>
          <w:sz w:val="20"/>
          <w:szCs w:val="20"/>
        </w:rPr>
        <w:t xml:space="preserve">NumPy, pandas and numpy-financial are deliberately excluded from the core engine; NumPy is permitted only if the Stage 4 Monte Carlo enhancement is built. Pin exact versions in lockfiles at checkpoint CP0; prefer releases at least two weeks old; record chosen versions in the repository README. Versions listed below are selection criteria, not verified pins.</w:t>
      </w:r>
    </w:p>
    <w:p>
      <w:pPr>
        <w:pStyle w:val="Heading1"/>
        <w:spacing w:after="160" w:before="360"/>
      </w:pPr>
      <w:r>
        <w:t xml:space="preserve">4. Infrastructure requirements</w:t>
      </w:r>
    </w:p>
    <w:p>
      <w:pPr>
        <w:spacing w:after="120"/>
      </w:pPr>
      <w:r>
        <w:t xml:space="preserve">None. A full evaluation including a 72-row schedule is expected to take about 1–2 ms (to be measured in the first test run).</w:t>
      </w:r>
    </w:p>
    <w:p>
      <w:pPr>
        <w:pStyle w:val="Heading1"/>
        <w:spacing w:after="160" w:before="360"/>
      </w:pPr>
      <w:r>
        <w:t xml:space="preserve">5. AI models and APIs</w:t>
      </w:r>
    </w:p>
    <w:p>
      <w:pPr>
        <w:spacing w:after="120"/>
      </w:pPr>
      <w:r>
        <w:t xml:space="preserve">None by design. LLM-generated arithmetic is never authoritative; the engine is the only source of numbers displayed to the user.</w:t>
      </w:r>
    </w:p>
    <w:p>
      <w:pPr>
        <w:pStyle w:val="Heading1"/>
        <w:spacing w:after="160" w:before="360"/>
      </w:pPr>
      <w:r>
        <w:t xml:space="preserve">6. Algorithm recommendations</w:t>
      </w:r>
    </w:p>
    <w:p>
      <w:pPr>
        <w:pStyle w:val="ListParagraph"/>
        <w:numPr>
          <w:ilvl w:val="0"/>
          <w:numId w:val="2"/>
        </w:numPr>
        <w:spacing w:after="60"/>
      </w:pPr>
      <w:r>
        <w:t xml:space="preserve">F00 principal: stated principal; else amount financed + prepaid finance charges; else amount financed with assumption a_pfc_zero and flag PFC_ASSUMED_ZERO.</w:t>
      </w:r>
    </w:p>
    <w:p>
      <w:pPr>
        <w:pStyle w:val="ListParagraph"/>
        <w:numPr>
          <w:ilvl w:val="0"/>
          <w:numId w:val="2"/>
        </w:numPr>
        <w:spacing w:after="60"/>
      </w:pPr>
      <w:r>
        <w:t xml:space="preserve">F01 payment on the principal: P·r/(1−(1+r)^−n), r = contract rate/12, rounded once to cents; a difference from the disclosed payment above $1 raises PAYMENT_MISMATCH.</w:t>
      </w:r>
    </w:p>
    <w:p>
      <w:pPr>
        <w:pStyle w:val="ListParagraph"/>
        <w:numPr>
          <w:ilvl w:val="0"/>
          <w:numId w:val="2"/>
        </w:numPr>
        <w:spacing w:after="60"/>
      </w:pPr>
      <w:r>
        <w:t xml:space="preserve">F01s schedule on the principal with per-line interest rounding; the final payment absorbs rounding. F02 total of payments from the schedule.</w:t>
      </w:r>
    </w:p>
    <w:p>
      <w:pPr>
        <w:pStyle w:val="ListParagraph"/>
        <w:numPr>
          <w:ilvl w:val="0"/>
          <w:numId w:val="2"/>
        </w:numPr>
        <w:spacing w:after="60"/>
      </w:pPr>
      <w:r>
        <w:t xml:space="preserve">F03 finance charge = total of payments − amount financed; F03i interest = total of payments − principal.</w:t>
      </w:r>
    </w:p>
    <w:p>
      <w:pPr>
        <w:pStyle w:val="ListParagraph"/>
        <w:numPr>
          <w:ilvl w:val="0"/>
          <w:numId w:val="2"/>
        </w:numPr>
        <w:spacing w:after="60"/>
      </w:pPr>
      <w:r>
        <w:t xml:space="preserve">F04 total paid through the deal = total of payments + cash down + prepaid charges paid in cash + positive trade-in equity, with a breakdown that shows any prior-loan balance rolled in.</w:t>
      </w:r>
    </w:p>
    <w:p>
      <w:pPr>
        <w:pStyle w:val="ListParagraph"/>
        <w:numPr>
          <w:ilvl w:val="0"/>
          <w:numId w:val="2"/>
        </w:numPr>
        <w:spacing w:after="60"/>
      </w:pPr>
      <w:r>
        <w:t xml:space="preserve">F05 APR: bisection on amount financed = payment annuity value; outside the 1/8-point tolerance is a warning.</w:t>
      </w:r>
    </w:p>
    <w:p>
      <w:pPr>
        <w:pStyle w:val="ListParagraph"/>
        <w:numPr>
          <w:ilvl w:val="0"/>
          <w:numId w:val="2"/>
        </w:numPr>
        <w:spacing w:after="60"/>
      </w:pPr>
      <w:r>
        <w:t xml:space="preserve">F13 savings after purchase subtracts cash leaving savings; F14 incremental vehicle costs = new costs − replaced costs; F08/F09 monthly leftover before and after (no default flexible spending); F10/F10b reserve months; F11 savings months of income.</w:t>
      </w:r>
    </w:p>
    <w:p>
      <w:pPr>
        <w:pStyle w:val="ListParagraph"/>
        <w:numPr>
          <w:ilvl w:val="0"/>
          <w:numId w:val="2"/>
        </w:numPr>
        <w:spacing w:after="60"/>
      </w:pPr>
      <w:r>
        <w:t xml:space="preserve">F12 equity timeline only from user value estimates. Flags v1.1: deficits, term over 60 months, negative equity at start, reserve under one month (informational), financed add-ons, prepayment penalty, payment mismatch, PFC assumed zero.</w:t>
      </w:r>
    </w:p>
    <w:p>
      <w:pPr>
        <w:pStyle w:val="Heading1"/>
        <w:spacing w:after="160" w:before="360"/>
      </w:pPr>
      <w:r>
        <w:t xml:space="preserve">7. Data architecture</w:t>
      </w:r>
    </w:p>
    <w:p>
      <w:pPr>
        <w:spacing w:after="120"/>
      </w:pPr>
      <w:r>
        <w:t xml:space="preserve">Inputs: an immutable EngineInputs object built from the FinancialProfile (including debt items, down-payment source and vehicle replacement facts) and the LoanOffer (principal or amount financed with prepaid charges, rates, term, cash down, trade-in, itemization, disclosed values). Output: CalculationResult v1.1 with per-metric value, status, verification, formula id, missing inputs and assumption ids, plus the schedule, flags and the REQUIRED_INPUTS echo.</w:t>
      </w:r>
    </w:p>
    <w:p>
      <w:pPr>
        <w:pStyle w:val="Heading1"/>
        <w:spacing w:after="160" w:before="360"/>
      </w:pPr>
      <w:r>
        <w:t xml:space="preserve">8. Interface dependencies</w:t>
      </w:r>
    </w:p>
    <w:p>
      <w:pPr>
        <w:pStyle w:val="ListParagraph"/>
        <w:numPr>
          <w:ilvl w:val="0"/>
          <w:numId w:val="2"/>
        </w:numPr>
        <w:spacing w:after="60"/>
      </w:pPr>
      <w:r>
        <w:t xml:space="preserve">Stage 1 reads REQUIRED_INPUTS for readiness.</w:t>
      </w:r>
    </w:p>
    <w:p>
      <w:pPr>
        <w:pStyle w:val="ListParagraph"/>
        <w:numPr>
          <w:ilvl w:val="0"/>
          <w:numId w:val="2"/>
        </w:numPr>
        <w:spacing w:after="60"/>
      </w:pPr>
      <w:r>
        <w:t xml:space="preserve">Stage 2 imports F00, F01 and F05 for document checks.</w:t>
      </w:r>
    </w:p>
    <w:p>
      <w:pPr>
        <w:pStyle w:val="ListParagraph"/>
        <w:numPr>
          <w:ilvl w:val="0"/>
          <w:numId w:val="2"/>
        </w:numPr>
        <w:spacing w:after="60"/>
      </w:pPr>
      <w:r>
        <w:t xml:space="preserve">Stage 4 calls month_net(t) per month and starts the with-offer run from F13.</w:t>
      </w:r>
    </w:p>
    <w:p>
      <w:pPr>
        <w:pStyle w:val="ListParagraph"/>
        <w:numPr>
          <w:ilvl w:val="0"/>
          <w:numId w:val="2"/>
        </w:numPr>
        <w:spacing w:after="60"/>
      </w:pPr>
      <w:r>
        <w:t xml:space="preserve">Stage 5 re-runs the engine per alternative, including F13.</w:t>
      </w:r>
    </w:p>
    <w:p>
      <w:pPr>
        <w:pStyle w:val="ListParagraph"/>
        <w:numPr>
          <w:ilvl w:val="0"/>
          <w:numId w:val="2"/>
        </w:numPr>
        <w:spacing w:after="60"/>
      </w:pPr>
      <w:r>
        <w:t xml:space="preserve">Stage 6 renders formula ids, flags, the breakdown and claim values.</w:t>
      </w:r>
    </w:p>
    <w:p>
      <w:pPr>
        <w:pStyle w:val="Heading1"/>
        <w:spacing w:after="160" w:before="360"/>
      </w:pPr>
      <w:r>
        <w:t xml:space="preserve">9. Deployment requirements</w:t>
      </w:r>
    </w:p>
    <w:p>
      <w:pPr>
        <w:spacing w:after="120"/>
      </w:pPr>
      <w:r>
        <w:t xml:space="preserve">Ships inside the api container; config mounted read-only; no secrets.</w:t>
      </w:r>
    </w:p>
    <w:p>
      <w:pPr>
        <w:pStyle w:val="Heading1"/>
        <w:spacing w:after="160" w:before="360"/>
      </w:pPr>
      <w:r>
        <w:t xml:space="preserve">10. Security requirements</w:t>
      </w:r>
    </w:p>
    <w:p>
      <w:pPr>
        <w:spacing w:after="120"/>
      </w:pPr>
      <w:r>
        <w:t xml:space="preserve">No I/O; logs reference ids only; config contains no user data.</w:t>
      </w:r>
    </w:p>
    <w:p>
      <w:pPr>
        <w:pStyle w:val="Heading1"/>
        <w:spacing w:after="160" w:before="360"/>
      </w:pPr>
      <w:r>
        <w:t xml:space="preserve">11. Technology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Alternative</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Weighted score</w:t>
            </w:r>
          </w:p>
        </w:tc>
        <w:tc>
          <w:tcPr>
            <w:tcW w:type="dxa" w:w="4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Reason not selected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Use the disclosed payment only (no computation)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 counterfactuals and no check on extraction (audit)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float + numpy-financial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4.00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Cent drift and rounding ambiguity; unnecessary dependency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TypeScript engine with decimal.js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3.60</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Splits the engine from the Python stages that must call it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Python decimal pure functions, principal-based (selected, v1.1)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4.65</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r>
    </w:tbl>
    <w:p>
      <w:pPr>
        <w:spacing w:after="120"/>
      </w:pPr>
    </w:p>
    <w:p>
      <w:pPr>
        <w:pStyle w:val="Heading1"/>
        <w:spacing w:after="160" w:before="360"/>
      </w:pPr>
      <w:r>
        <w:t xml:space="preserve">12.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Item</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Estimate</w:t>
            </w:r>
          </w:p>
        </w:tc>
        <w:tc>
          <w:tcPr>
            <w:tcW w:type="dxa" w:w="45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Assumption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Compute and infrastructure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none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In-process; milliseconds per evaluation</w:t>
            </w:r>
          </w:p>
        </w:tc>
      </w:tr>
    </w:tbl>
    <w:p>
      <w:pPr>
        <w:spacing w:after="120"/>
      </w:pPr>
    </w:p>
    <w:p>
      <w:pPr>
        <w:pStyle w:val="Heading1"/>
        <w:spacing w:after="160" w:before="360"/>
      </w:pPr>
      <w:r>
        <w:t xml:space="preserve">13. Implementation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Milestone</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Checkpoint</w:t>
            </w:r>
          </w:p>
        </w:tc>
        <w:tc>
          <w:tcPr>
            <w:tcW w:type="dxa" w:w="49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sz w:val="19"/>
                <w:szCs w:val="19"/>
              </w:rPr>
              <w:t xml:space="preserve">Deliverable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F00–F14, flags v1.1, REQUIRED_INPUTS, reference and transaction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CP1</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Engine powers the vertical slice with corrected math</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month_net(t), golden files, property tests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CP2</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Scenario and alternative stages build on one arithmetic source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Performance measurement; spreadsheet cross-check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CP3</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A-07r, A-24, A-28 to A-32 green</w:t>
            </w:r>
          </w:p>
        </w:tc>
      </w:tr>
    </w:tbl>
    <w:p>
      <w:pPr>
        <w:spacing w:after="120"/>
      </w:pPr>
    </w:p>
    <w:p>
      <w:pPr>
        <w:pStyle w:val="Heading1"/>
        <w:spacing w:after="160" w:before="360"/>
      </w:pPr>
      <w:r>
        <w:t xml:space="preserve">14. Testing strategy</w:t>
      </w:r>
    </w:p>
    <w:p>
      <w:pPr>
        <w:pStyle w:val="ListParagraph"/>
        <w:numPr>
          <w:ilvl w:val="0"/>
          <w:numId w:val="2"/>
        </w:numPr>
        <w:spacing w:after="60"/>
      </w:pPr>
      <w:r>
        <w:t xml:space="preserve">CFPB en-753 table and worksheet (no prepaid charges): exact to cents.</w:t>
      </w:r>
    </w:p>
    <w:p>
      <w:pPr>
        <w:pStyle w:val="ListParagraph"/>
        <w:numPr>
          <w:ilvl w:val="0"/>
          <w:numId w:val="2"/>
        </w:numPr>
        <w:spacing w:after="60"/>
      </w:pPr>
      <w:r>
        <w:t xml:space="preserve">Reg Z principal example: $20,000 note, $500 financed prepaid charge, 4.75%/60 gives $375.14, $22,508.29, finance charge $3,008.29, interest $2,508.29, APR 5.796%.</w:t>
      </w:r>
    </w:p>
    <w:p>
      <w:pPr>
        <w:pStyle w:val="ListParagraph"/>
        <w:numPr>
          <w:ilvl w:val="0"/>
          <w:numId w:val="2"/>
        </w:numPr>
        <w:spacing w:after="60"/>
      </w:pPr>
      <w:r>
        <w:t xml:space="preserve">Trade-in, savings-after-purchase, replacement-netting, no-fabricated-timeline and deficit fixtures (A-28 to A-32).</w:t>
      </w:r>
    </w:p>
    <w:p>
      <w:pPr>
        <w:pStyle w:val="ListParagraph"/>
        <w:numPr>
          <w:ilvl w:val="0"/>
          <w:numId w:val="2"/>
        </w:numPr>
        <w:spacing w:after="60"/>
      </w:pPr>
      <w:r>
        <w:t xml:space="preserve">Property tests and golden files pinned per calc_version.</w:t>
      </w:r>
    </w:p>
    <w:p>
      <w:pPr>
        <w:pStyle w:val="Heading1"/>
        <w:spacing w:after="160" w:before="360"/>
      </w:pPr>
      <w:r>
        <w:t xml:space="preserve">15. Final recommendation</w:t>
      </w:r>
    </w:p>
    <w:p>
      <w:pPr>
        <w:spacing w:after="120"/>
      </w:pPr>
      <w:r>
        <w:t xml:space="preserve">Build the engine first and test it against the CFPB vectors and the Reg Z principal example before anything else. The v1.0 formulas understated borrowing cost whenever fees were financed and mishandled trade-ins, down payments and replaced vehicles. The corrected engine is both the foundation every stage calls and the strongest evidence of correctness the team can show judges.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DecisionTwin architecture research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F5496"/>
      <w:sz w:val="30"/>
      <w:szCs w:val="30"/>
    </w:rPr>
  </w:style>
  <w:style w:type="paragraph" w:styleId="Heading2">
    <w:name w:val="Heading 2"/>
    <w:basedOn w:val="Normal"/>
    <w:next w:val="Normal"/>
    <w:qFormat/>
    <w:pPr>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03 — Technical Stack Specification</dc:title>
  <dc:creator>DecisionTwin Supervisor Agent</dc:creator>
  <cp:lastModifiedBy>Un-named</cp:lastModifiedBy>
  <cp:revision>1</cp:revision>
  <dcterms:created xsi:type="dcterms:W3CDTF">2026-10-24T23:19:43.914Z</dcterms:created>
  <dcterms:modified xsi:type="dcterms:W3CDTF">2026-10-24T23:19:43.914Z</dcterms:modified>
</cp:coreProperties>
</file>

<file path=docProps/custom.xml><?xml version="1.0" encoding="utf-8"?>
<Properties xmlns="http://schemas.openxmlformats.org/officeDocument/2006/custom-properties" xmlns:vt="http://schemas.openxmlformats.org/officeDocument/2006/docPropsVTypes"/>
</file>