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Stage 04 — Technical Stack Specification</w:t>
      </w:r>
    </w:p>
    <w:p>
      <w:pPr>
        <w:spacing w:after="80"/>
      </w:pPr>
      <w:r>
        <w:rPr>
          <w:color w:val="555555"/>
          <w:sz w:val="22"/>
          <w:szCs w:val="22"/>
        </w:rPr>
        <w:t xml:space="preserve">Financial Uncertainty &amp; Risk Simulation (v1.1)</w:t>
      </w:r>
    </w:p>
    <w:p>
      <w:pPr>
        <w:pBdr>
          <w:bottom w:val="single" w:color="2F5496" w:sz="6" w:space="4"/>
        </w:pBdr>
        <w:spacing w:after="240"/>
      </w:pPr>
      <w:r>
        <w:rPr>
          <w:color w:val="777777"/>
          <w:sz w:val="18"/>
          <w:szCs w:val="18"/>
        </w:rPr>
        <w:t xml:space="preserve">DecisionTwin — HackPSU Fall 2026 (FNB Challenge · Nittany AI Challenge) · Architecture v1.1 (post-audit) · 2026-10-24</w:t>
      </w:r>
    </w:p>
    <w:p>
      <w:pPr>
        <w:pStyle w:val="Heading1"/>
        <w:spacing w:after="160" w:before="360"/>
      </w:pPr>
      <w:r>
        <w:t xml:space="preserve">0. Version 1.1 audit revision</w:t>
      </w:r>
    </w:p>
    <w:p>
      <w:pPr>
        <w:spacing w:after="120"/>
      </w:pPr>
      <w:r>
        <w:t xml:space="preserve">This specification was revised after the six-stage architecture audit of 2026-10-24 (review: reviews/stage_04_review.md; authoritative schemas: supervisor/api_and_data_contracts.md v1.1). The table lists what changed and why; the sections below reflect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860"/>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Change</w:t>
            </w:r>
          </w:p>
        </w:tc>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 changed</w:t>
            </w:r>
          </w:p>
        </w:tc>
        <w:tc>
          <w:tcPr>
            <w:tcW w:type="dxa" w:w="38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CH-21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Illustrative user-relative scenarios replace the "CFPB median 3-week shock"; CFPB research is context only</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v1.0 figure could not be substantiated in CFPB sources reviewed on 2026-10-24</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CH-04</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With-offer runs start from savings after purchase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Pre-purchase savings overstated runway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CH-22</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Savings floored at zero; shortfall tracked as an unfunded gap with no interest assumed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Negative balances implied a free credit line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CH-23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Every scenario runs without and with the offer</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Users could not see how much stress the loan adds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CH-24, CH-25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Month-by-month baseline equality; break-even for 3 and 6 months with defined edge cases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v1.0 test failed on a correct engine; edge cases were undefined</w:t>
            </w:r>
          </w:p>
        </w:tc>
      </w:tr>
    </w:tbl>
    <w:p>
      <w:pPr>
        <w:spacing w:after="120"/>
      </w:pPr>
    </w:p>
    <w:p>
      <w:pPr>
        <w:pStyle w:val="Heading1"/>
        <w:spacing w:after="160" w:before="360"/>
      </w:pPr>
      <w:r>
        <w:t xml:space="preserve">1. Stage overview</w:t>
      </w:r>
    </w:p>
    <w:p>
      <w:pPr>
        <w:spacing w:after="120"/>
      </w:pPr>
      <w:r>
        <w:t xml:space="preserve">Stage 4 shows how the plan behaves if circumstances change, using deterministic, illustrative scenarios sized relative to the user's own figures: an expense of one month of essentials, a 25% income cut for three months, the user's low-month income every month (variable earners), two months without income, and a 20% rise in vehicle costs. Each scenario runs without and with the offer, savings never go below zero (any shortfall is an unfunded gap), and the break-even income drop is reported for 3 and 6 months. These are not forecasts, and no probability is claimed.</w:t>
      </w:r>
    </w:p>
    <w:p>
      <w:pPr>
        <w:pStyle w:val="Heading1"/>
        <w:spacing w:after="160" w:before="360"/>
      </w:pPr>
      <w:r>
        <w:t xml:space="preserve">2. Selected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Component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Selection</w:t>
            </w:r>
          </w:p>
        </w:tc>
        <w:tc>
          <w:tcPr>
            <w:tcW w:type="dxa" w:w="4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Why selected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Scenario runner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Pure Python over engine.month_net(t)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Consistent with Stage 3 by construction; reproducible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Scenario catalog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scenarios.yaml, every entry labeled illustrative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Honest defaults; no unsupported citations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Sensitivity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One-at-a-time ±10% (labeled)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Shows which driver matters without distributions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Resilience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Bisection break-even for 3 and 6 months; runway; unfunded gap</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Meaningful without a universal risk score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Monte Carlo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Deferred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Adds no information beyond deterministic bounds for one user; invites probability misreading</w:t>
            </w:r>
          </w:p>
        </w:tc>
      </w:tr>
    </w:tbl>
    <w:p>
      <w:pPr>
        <w:spacing w:after="120"/>
      </w:pPr>
    </w:p>
    <w:p>
      <w:pPr>
        <w:pStyle w:val="Heading1"/>
        <w:spacing w:after="160" w:before="360"/>
      </w:pPr>
      <w:r>
        <w:t xml:space="preserve">3. Frameworks and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Library</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Role</w:t>
            </w:r>
          </w:p>
        </w:tc>
        <w:tc>
          <w:tcPr>
            <w:tcW w:type="dxa" w:w="3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Version selection criteria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decimal (stdlib)</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Deterministic paths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Python 3.12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numpy (optional)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Monte Carlo sampling only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Current stable 2.x; added only if the enhancement is built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pydantic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ScenarioRequest/Result schemas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v2.x</w:t>
            </w:r>
          </w:p>
        </w:tc>
      </w:tr>
    </w:tbl>
    <w:p>
      <w:pPr>
        <w:spacing w:after="120"/>
      </w:pPr>
    </w:p>
    <w:p>
      <w:pPr>
        <w:spacing w:after="120"/>
      </w:pPr>
      <w:r>
        <w:rPr>
          <w:i/>
          <w:iCs/>
          <w:color w:val="555555"/>
          <w:sz w:val="20"/>
          <w:szCs w:val="20"/>
        </w:rPr>
        <w:t xml:space="preserve">Pin exact versions in lockfiles at checkpoint CP0; prefer releases at least two weeks old; record chosen versions in the repository README. Versions listed below are selection criteria, not verified pins.</w:t>
      </w:r>
    </w:p>
    <w:p>
      <w:pPr>
        <w:pStyle w:val="Heading1"/>
        <w:spacing w:after="160" w:before="360"/>
      </w:pPr>
      <w:r>
        <w:t xml:space="preserve">4. Infrastructure requirements</w:t>
      </w:r>
    </w:p>
    <w:p>
      <w:pPr>
        <w:spacing w:after="120"/>
      </w:pPr>
      <w:r>
        <w:t xml:space="preserve">None. Deterministic catalog, sensitivity and break-even run in tens of milliseconds; Monte Carlo at 2,000 paths × 12 months is estimated under 200 ms.</w:t>
      </w:r>
    </w:p>
    <w:p>
      <w:pPr>
        <w:pStyle w:val="Heading1"/>
        <w:spacing w:after="160" w:before="360"/>
      </w:pPr>
      <w:r>
        <w:t xml:space="preserve">5. AI models and APIs</w:t>
      </w:r>
    </w:p>
    <w:p>
      <w:pPr>
        <w:spacing w:after="120"/>
      </w:pPr>
      <w:r>
        <w:t xml:space="preserve">None. Scenario definitions and results are deterministic; explanations of results are produced by Stage 6 from structured outputs.</w:t>
      </w:r>
    </w:p>
    <w:p>
      <w:pPr>
        <w:pStyle w:val="Heading1"/>
        <w:spacing w:after="160" w:before="360"/>
      </w:pPr>
      <w:r>
        <w:t xml:space="preserve">6. Algorithm recommendations</w:t>
      </w:r>
    </w:p>
    <w:p>
      <w:pPr>
        <w:pStyle w:val="ListParagraph"/>
        <w:numPr>
          <w:ilvl w:val="0"/>
          <w:numId w:val="2"/>
        </w:numPr>
        <w:spacing w:after="60"/>
      </w:pPr>
      <w:r>
        <w:t xml:space="preserve">Start balances: without the offer = savings; with the offer = F13 savings after purchase.</w:t>
      </w:r>
    </w:p>
    <w:p>
      <w:pPr>
        <w:pStyle w:val="ListParagraph"/>
        <w:numPr>
          <w:ilvl w:val="0"/>
          <w:numId w:val="2"/>
        </w:numPr>
        <w:spacing w:after="60"/>
      </w:pPr>
      <w:r>
        <w:t xml:space="preserve">Monthly recursion: raw = previous balance + month_net(t); balance = max(0, raw); the unfunded gap grows by any shortfall and is repaid from later surpluses.</w:t>
      </w:r>
    </w:p>
    <w:p>
      <w:pPr>
        <w:pStyle w:val="ListParagraph"/>
        <w:numPr>
          <w:ilvl w:val="0"/>
          <w:numId w:val="2"/>
        </w:numPr>
        <w:spacing w:after="60"/>
      </w:pPr>
      <w:r>
        <w:t xml:space="preserve">Catalog v1.1 (illustrative): expense spike = one month of essentials in month 2; income −25% in months 2–4; low-month income every month (variable earners only); zero income for 2 months (no benefits assumed); +20% incremental vehicle costs.</w:t>
      </w:r>
    </w:p>
    <w:p>
      <w:pPr>
        <w:pStyle w:val="ListParagraph"/>
        <w:numPr>
          <w:ilvl w:val="0"/>
          <w:numId w:val="2"/>
        </w:numPr>
        <w:spacing w:after="60"/>
      </w:pPr>
      <w:r>
        <w:t xml:space="preserve">Break-even income drop: bisection over the drop fraction for M = 3 and 6; a deficit at baseline gives 0% with a flag; full coverage at 100% is reported as capped.</w:t>
      </w:r>
    </w:p>
    <w:p>
      <w:pPr>
        <w:pStyle w:val="ListParagraph"/>
        <w:numPr>
          <w:ilvl w:val="0"/>
          <w:numId w:val="2"/>
        </w:numPr>
        <w:spacing w:after="60"/>
      </w:pPr>
      <w:r>
        <w:t xml:space="preserve">Context sentence only: CFPB research finds unexpected expenses are more common than income drops (wording verified against the source before use).</w:t>
      </w:r>
    </w:p>
    <w:p>
      <w:pPr>
        <w:pStyle w:val="Heading1"/>
        <w:spacing w:after="160" w:before="360"/>
      </w:pPr>
      <w:r>
        <w:t xml:space="preserve">7. Data architecture</w:t>
      </w:r>
    </w:p>
    <w:p>
      <w:pPr>
        <w:spacing w:after="120"/>
      </w:pPr>
      <w:r>
        <w:t xml:space="preserve">ScenarioRequest (scenario id, type, parameters, horizon, runs, seed, assumption ids) and ScenarioResult (run, start balance, monthly paths with savings and unfunded gap, first shortfall month, runway, maximum unfunded gap, recovery month, deficit-at-baseline flag, assumptions), stored in the DecisionReport; ResilienceSummary with break-even for 3 and 6 months and the capped flag.</w:t>
      </w:r>
    </w:p>
    <w:p>
      <w:pPr>
        <w:pStyle w:val="Heading1"/>
        <w:spacing w:after="160" w:before="360"/>
      </w:pPr>
      <w:r>
        <w:t xml:space="preserve">8. Interface dependencies</w:t>
      </w:r>
    </w:p>
    <w:p>
      <w:pPr>
        <w:pStyle w:val="ListParagraph"/>
        <w:numPr>
          <w:ilvl w:val="0"/>
          <w:numId w:val="2"/>
        </w:numPr>
        <w:spacing w:after="60"/>
      </w:pPr>
      <w:r>
        <w:t xml:space="preserve">Stage 3: month_net(t) per month and F13; baseline equality is checked month by month, including debts that end mid-horizon.</w:t>
      </w:r>
    </w:p>
    <w:p>
      <w:pPr>
        <w:pStyle w:val="ListParagraph"/>
        <w:numPr>
          <w:ilvl w:val="0"/>
          <w:numId w:val="2"/>
        </w:numPr>
        <w:spacing w:after="60"/>
      </w:pPr>
      <w:r>
        <w:t xml:space="preserve">Stage 5: identical catalog and assumption ids; each alternative starts from its own F13.</w:t>
      </w:r>
    </w:p>
    <w:p>
      <w:pPr>
        <w:pStyle w:val="ListParagraph"/>
        <w:numPr>
          <w:ilvl w:val="0"/>
          <w:numId w:val="2"/>
        </w:numPr>
        <w:spacing w:after="60"/>
      </w:pPr>
      <w:r>
        <w:t xml:space="preserve">Stage 6: paired cards, the assumptions panel and the context sentence; never "you will run short".</w:t>
      </w:r>
    </w:p>
    <w:p>
      <w:pPr>
        <w:pStyle w:val="Heading1"/>
        <w:spacing w:after="160" w:before="360"/>
      </w:pPr>
      <w:r>
        <w:t xml:space="preserve">9. Deployment requirements</w:t>
      </w:r>
    </w:p>
    <w:p>
      <w:pPr>
        <w:spacing w:after="120"/>
      </w:pPr>
      <w:r>
        <w:t xml:space="preserve">Ships inside the api container; scenarios.yaml mounted read-only.</w:t>
      </w:r>
    </w:p>
    <w:p>
      <w:pPr>
        <w:pStyle w:val="Heading1"/>
        <w:spacing w:after="160" w:before="360"/>
      </w:pPr>
      <w:r>
        <w:t xml:space="preserve">10. Security requirements</w:t>
      </w:r>
    </w:p>
    <w:p>
      <w:pPr>
        <w:spacing w:after="120"/>
      </w:pPr>
      <w:r>
        <w:t xml:space="preserve">No new data collection; the optional employment-stability fact is T2 and session-scoped.</w:t>
      </w:r>
    </w:p>
    <w:p>
      <w:pPr>
        <w:pStyle w:val="Heading1"/>
        <w:spacing w:after="160" w:before="360"/>
      </w:pPr>
      <w:r>
        <w:t xml:space="preserve">11. Technology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Alternative</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Weighted score</w:t>
            </w:r>
          </w:p>
        </w:tc>
        <w:tc>
          <w:tcPr>
            <w:tcW w:type="dxa" w:w="4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Reason not selected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"CFPB median" default shocks (v1.0)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Retracted: not substantiated in CFPB sources (audit)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Monte Carlo on triangular income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3.45</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Distribution is itself an assumption; deferred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Scenario tree with probabilities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3.10</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defensible branch probabilities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Predictive distress model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1.80</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individual data; misleading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Illustrative paired scenarios + floor/gap + break-even (selected, v1.1)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4.60</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t>
            </w:r>
          </w:p>
        </w:tc>
      </w:tr>
    </w:tbl>
    <w:p>
      <w:pPr>
        <w:spacing w:after="120"/>
      </w:pPr>
    </w:p>
    <w:p>
      <w:pPr>
        <w:pStyle w:val="Heading1"/>
        <w:spacing w:after="160" w:before="360"/>
      </w:pPr>
      <w:r>
        <w:t xml:space="preserve">12.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Item</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Estimate</w:t>
            </w:r>
          </w:p>
        </w:tc>
        <w:tc>
          <w:tcPr>
            <w:tcW w:type="dxa" w:w="4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Assumption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Compute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none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Milliseconds per analysis</w:t>
            </w:r>
          </w:p>
        </w:tc>
      </w:tr>
    </w:tbl>
    <w:p>
      <w:pPr>
        <w:spacing w:after="120"/>
      </w:pPr>
    </w:p>
    <w:p>
      <w:pPr>
        <w:pStyle w:val="Heading1"/>
        <w:spacing w:after="160" w:before="360"/>
      </w:pPr>
      <w:r>
        <w:t xml:space="preserve">13. Implementation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Milestone</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Checkpoint</w:t>
            </w:r>
          </w:p>
        </w:tc>
        <w:tc>
          <w:tcPr>
            <w:tcW w:type="dxa" w:w="4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Deliverable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Paired runner, catalog v1.1, floor and gap, break-even 3/6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CP2</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Stress cards and break-even in the dashboard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Sensitivity ranking; baseline, label, gap, pairing and edge-case tests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CP2</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A-09r, A-10r, A-33 to A-35 green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Custom scenarios and sliders (enhanced)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after CP3 only</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User-defined what-ifs</w:t>
            </w:r>
          </w:p>
        </w:tc>
      </w:tr>
    </w:tbl>
    <w:p>
      <w:pPr>
        <w:spacing w:after="120"/>
      </w:pPr>
    </w:p>
    <w:p>
      <w:pPr>
        <w:pStyle w:val="Heading1"/>
        <w:spacing w:after="160" w:before="360"/>
      </w:pPr>
      <w:r>
        <w:t xml:space="preserve">14. Testing strategy</w:t>
      </w:r>
    </w:p>
    <w:p>
      <w:pPr>
        <w:pStyle w:val="ListParagraph"/>
        <w:numPr>
          <w:ilvl w:val="0"/>
          <w:numId w:val="2"/>
        </w:numPr>
        <w:spacing w:after="60"/>
      </w:pPr>
      <w:r>
        <w:t xml:space="preserve">Month-by-month baseline equality including a debt ending in month 4 (A-09r).</w:t>
      </w:r>
    </w:p>
    <w:p>
      <w:pPr>
        <w:pStyle w:val="ListParagraph"/>
        <w:numPr>
          <w:ilvl w:val="0"/>
          <w:numId w:val="2"/>
        </w:numPr>
        <w:spacing w:after="60"/>
      </w:pPr>
      <w:r>
        <w:t xml:space="preserve">Label audit: every assumption contains "Illustrative"; no "CFPB median" in config (A-10r).</w:t>
      </w:r>
    </w:p>
    <w:p>
      <w:pPr>
        <w:pStyle w:val="ListParagraph"/>
        <w:numPr>
          <w:ilvl w:val="0"/>
          <w:numId w:val="2"/>
        </w:numPr>
        <w:spacing w:after="60"/>
      </w:pPr>
      <w:r>
        <w:t xml:space="preserve">Balance never negative; correct maximum unfunded gap (A-33).</w:t>
      </w:r>
    </w:p>
    <w:p>
      <w:pPr>
        <w:pStyle w:val="ListParagraph"/>
        <w:numPr>
          <w:ilvl w:val="0"/>
          <w:numId w:val="2"/>
        </w:numPr>
        <w:spacing w:after="60"/>
      </w:pPr>
      <w:r>
        <w:t xml:space="preserve">Without-offer runway ≥ with-offer runway (A-34); break-even edge cases (A-35).</w:t>
      </w:r>
    </w:p>
    <w:p>
      <w:pPr>
        <w:pStyle w:val="Heading1"/>
        <w:spacing w:after="160" w:before="360"/>
      </w:pPr>
      <w:r>
        <w:t xml:space="preserve">15. Final recommendation</w:t>
      </w:r>
    </w:p>
    <w:p>
      <w:pPr>
        <w:spacing w:after="120"/>
      </w:pPr>
      <w:r>
        <w:t xml:space="preserve">Deliver paired, illustrative scenarios with visible assumptions and the break-even income drop. The honest capability is consequence analysis under stated, user-relative assumptions. It is not forecasting, and no scenario size may be attributed to CFPB.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DecisionTwin architecture research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F5496"/>
      <w:sz w:val="30"/>
      <w:szCs w:val="30"/>
    </w:rPr>
  </w:style>
  <w:style w:type="paragraph" w:styleId="Heading2">
    <w:name w:val="Heading 2"/>
    <w:basedOn w:val="Normal"/>
    <w:next w:val="Normal"/>
    <w:qFormat/>
    <w:pPr>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04 — Technical Stack Specification</dc:title>
  <dc:creator>DecisionTwin Supervisor Agent</dc:creator>
  <cp:lastModifiedBy>Un-named</cp:lastModifiedBy>
  <cp:revision>1</cp:revision>
  <dcterms:created xsi:type="dcterms:W3CDTF">2026-10-24T23:19:43.996Z</dcterms:created>
  <dcterms:modified xsi:type="dcterms:W3CDTF">2026-10-24T23:19:43.996Z</dcterms:modified>
</cp:coreProperties>
</file>

<file path=docProps/custom.xml><?xml version="1.0" encoding="utf-8"?>
<Properties xmlns="http://schemas.openxmlformats.org/officeDocument/2006/custom-properties" xmlns:vt="http://schemas.openxmlformats.org/officeDocument/2006/docPropsVTypes"/>
</file>