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0"/>
          <w:szCs w:val="40"/>
        </w:rPr>
        <w:t xml:space="preserve">Stage 05 — Technical Stack Specification</w:t>
      </w:r>
    </w:p>
    <w:p>
      <w:pPr>
        <w:spacing w:after="80"/>
      </w:pPr>
      <w:r>
        <w:rPr>
          <w:color w:val="555555"/>
          <w:sz w:val="22"/>
          <w:szCs w:val="22"/>
        </w:rPr>
        <w:t xml:space="preserve">Counterfactual Decision &amp; Alternative Evaluation (v1.1)</w:t>
      </w:r>
    </w:p>
    <w:p>
      <w:pPr>
        <w:pBdr>
          <w:bottom w:val="single" w:color="2F5496" w:sz="6" w:space="4"/>
        </w:pBdr>
        <w:spacing w:after="240"/>
      </w:pPr>
      <w:r>
        <w:rPr>
          <w:color w:val="777777"/>
          <w:sz w:val="18"/>
          <w:szCs w:val="18"/>
        </w:rPr>
        <w:t xml:space="preserve">DecisionTwin — HackPSU Fall 2026 (FNB Challenge · Nittany AI Challenge) · Architecture v1.1 (post-audit) · 2026-10-24</w:t>
      </w:r>
    </w:p>
    <w:p>
      <w:pPr>
        <w:pStyle w:val="Heading1"/>
        <w:spacing w:after="160" w:before="360"/>
      </w:pPr>
      <w:r>
        <w:t xml:space="preserve">0. Version 1.1 audit revision</w:t>
      </w:r>
    </w:p>
    <w:p>
      <w:pPr>
        <w:spacing w:after="120"/>
      </w:pPr>
      <w:r>
        <w:t xml:space="preserve">This specification was revised after the six-stage architecture audit of 2026-10-24 (review: reviews/stage_05_review.md; authoritative schemas: supervisor/api_and_data_contracts.md v1.1). The table lists what changed and why; the sections below reflect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38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Change</w:t>
            </w:r>
          </w:p>
        </w:tc>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What changed</w:t>
            </w:r>
          </w:p>
        </w:tc>
        <w:tc>
          <w:tcPr>
            <w:tcW w:type="dxa" w:w="38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CH-26</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hypothetical "1 point lower APR" option is removed; a rate-sensitivity statement replaces it (closes Q-3)</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Presenting an unavailable rate as an option is an unsupported claim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CH-27</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cash-down lever moves savings after purchase, which is a Pareto objective</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v1.0 hid the cost of draining savings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CH-28</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Term alternatives carry the label "same rate assumed"</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Lenders price by term; the what-if must say so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CH-29, CH-30</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Price and delay levers deferred; competing offers only as full verified offers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Underspecified levers; swapping only the APR ignored fees and terms</w:t>
            </w:r>
          </w:p>
        </w:tc>
      </w:tr>
    </w:tbl>
    <w:p>
      <w:pPr>
        <w:spacing w:after="120"/>
      </w:pPr>
    </w:p>
    <w:p>
      <w:pPr>
        <w:pStyle w:val="Heading1"/>
        <w:spacing w:after="160" w:before="360"/>
      </w:pPr>
      <w:r>
        <w:t xml:space="preserve">1. Stage overview</w:t>
      </w:r>
    </w:p>
    <w:p>
      <w:pPr>
        <w:spacing w:after="120"/>
      </w:pPr>
      <w:r>
        <w:t xml:space="preserve">Stage 5 evaluates user-actionable alternatives: more cash down (bounded by savings when the down payment comes from savings), a different term (labeled "same rate assumed"), removing optional add-ons, and verified competing offers. Each runs through the same engine and scenario catalog. Non-dominated options are kept over four objectives (finance charge, monthly leftover after, savings after purchase, break-even), and the stage reports which lever matters most plus a rate-sensitivity statement. It never selects a best option, never shows a rate that isn't from a verified offer, and makes no causal claims.</w:t>
      </w:r>
    </w:p>
    <w:p>
      <w:pPr>
        <w:pStyle w:val="Heading1"/>
        <w:spacing w:after="160" w:before="360"/>
      </w:pPr>
      <w:r>
        <w:t xml:space="preserve">2. Selected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Component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Selection</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Why selected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Alternative generation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Grid over MVP levers with feasibility filters (≤ 32 per offer)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Small and transparent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Evaluation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engine.compute (F00, F13, F14) + scenarios.run_catalog (with offer)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Same arithmetic and assumptions as the baseline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Trade-off analysis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Pareto dominance over four objectives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Preference-free; savings cost visible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Lever ranking and rate sensitivity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One-at-a-time effect; ±1 point calculation stated as sensitivity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Explains what matters without inventing offers</w:t>
            </w:r>
          </w:p>
        </w:tc>
      </w:tr>
    </w:tbl>
    <w:p>
      <w:pPr>
        <w:spacing w:after="120"/>
      </w:pPr>
    </w:p>
    <w:p>
      <w:pPr>
        <w:pStyle w:val="Heading1"/>
        <w:spacing w:after="160" w:before="360"/>
      </w:pPr>
      <w:r>
        <w:t xml:space="preserve">3. Frameworks and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Library</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Role</w:t>
            </w:r>
          </w:p>
        </w:tc>
        <w:tc>
          <w:tcPr>
            <w:tcW w:type="dxa" w:w="3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Version selection criteria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itertools (stdlib)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Grid generation</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Python 3.12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pydantic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CounterfactualResult schemas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v2.x</w:t>
            </w:r>
          </w:p>
        </w:tc>
      </w:tr>
    </w:tbl>
    <w:p>
      <w:pPr>
        <w:spacing w:after="120"/>
      </w:pPr>
    </w:p>
    <w:p>
      <w:pPr>
        <w:spacing w:after="120"/>
      </w:pPr>
      <w:r>
        <w:rPr>
          <w:i/>
          <w:iCs/>
          <w:color w:val="555555"/>
          <w:sz w:val="20"/>
          <w:szCs w:val="20"/>
        </w:rPr>
        <w:t xml:space="preserve">SciPy/OR-Tools optimizers are deliberately excluded (ADR-008). Pin exact versions in lockfiles at checkpoint CP0; prefer releases at least two weeks old; record chosen versions in the repository README. Versions listed below are selection criteria, not verified pins.</w:t>
      </w:r>
    </w:p>
    <w:p>
      <w:pPr>
        <w:pStyle w:val="Heading1"/>
        <w:spacing w:after="160" w:before="360"/>
      </w:pPr>
      <w:r>
        <w:t xml:space="preserve">4. Infrastructure requirements</w:t>
      </w:r>
    </w:p>
    <w:p>
      <w:pPr>
        <w:spacing w:after="120"/>
      </w:pPr>
      <w:r>
        <w:t xml:space="preserve">None. Default grid evaluation is targeted at under one second; the grid is capped rather than parallelized.</w:t>
      </w:r>
    </w:p>
    <w:p>
      <w:pPr>
        <w:pStyle w:val="Heading1"/>
        <w:spacing w:after="160" w:before="360"/>
      </w:pPr>
      <w:r>
        <w:t xml:space="preserve">5. AI models and APIs</w:t>
      </w:r>
    </w:p>
    <w:p>
      <w:pPr>
        <w:spacing w:after="120"/>
      </w:pPr>
      <w:r>
        <w:t xml:space="preserve">None. Trade-off statements are produced as structured facts; any narrative passes through the Stage 6 validation gate.</w:t>
      </w:r>
    </w:p>
    <w:p>
      <w:pPr>
        <w:pStyle w:val="Heading1"/>
        <w:spacing w:after="160" w:before="360"/>
      </w:pPr>
      <w:r>
        <w:t xml:space="preserve">6. Algorithm recommendations</w:t>
      </w:r>
    </w:p>
    <w:p>
      <w:pPr>
        <w:pStyle w:val="ListParagraph"/>
        <w:numPr>
          <w:ilvl w:val="0"/>
          <w:numId w:val="2"/>
        </w:numPr>
        <w:spacing w:after="60"/>
      </w:pPr>
      <w:r>
        <w:t xml:space="preserve">Cash down delta in {0, +500, +1,000, +2,000}, bounded by savings when the source is savings; recomputes the principal and F13.</w:t>
      </w:r>
    </w:p>
    <w:p>
      <w:pPr>
        <w:pStyle w:val="ListParagraph"/>
        <w:numPr>
          <w:ilvl w:val="0"/>
          <w:numId w:val="2"/>
        </w:numPr>
        <w:spacing w:after="60"/>
      </w:pPr>
      <w:r>
        <w:t xml:space="preserve">Term in {36, 48, 60, 72} with assumption flag same_rate_assumed.</w:t>
      </w:r>
    </w:p>
    <w:p>
      <w:pPr>
        <w:pStyle w:val="ListParagraph"/>
        <w:numPr>
          <w:ilvl w:val="0"/>
          <w:numId w:val="2"/>
        </w:numPr>
        <w:spacing w:after="60"/>
      </w:pPr>
      <w:r>
        <w:t xml:space="preserve">Remove add-ons only where the add-on is marked optional in the document or by the user.</w:t>
      </w:r>
    </w:p>
    <w:p>
      <w:pPr>
        <w:pStyle w:val="ListParagraph"/>
        <w:numPr>
          <w:ilvl w:val="0"/>
          <w:numId w:val="2"/>
        </w:numPr>
        <w:spacing w:after="60"/>
      </w:pPr>
      <w:r>
        <w:t xml:space="preserve">Competing offers enter only as complete verified LoanOffers.</w:t>
      </w:r>
    </w:p>
    <w:p>
      <w:pPr>
        <w:pStyle w:val="ListParagraph"/>
        <w:numPr>
          <w:ilvl w:val="0"/>
          <w:numId w:val="2"/>
        </w:numPr>
        <w:spacing w:after="60"/>
      </w:pPr>
      <w:r>
        <w:t xml:space="preserve">Constraints: maximum payment, minimum reserve after purchase, maximum term, keep add-on; infeasible options are kept with reasons.</w:t>
      </w:r>
    </w:p>
    <w:p>
      <w:pPr>
        <w:pStyle w:val="ListParagraph"/>
        <w:numPr>
          <w:ilvl w:val="0"/>
          <w:numId w:val="2"/>
        </w:numPr>
        <w:spacing w:after="60"/>
      </w:pPr>
      <w:r>
        <w:t xml:space="preserve">Base alternative must reproduce the baseline byte for byte; monotonicity tests across term and cash down.</w:t>
      </w:r>
    </w:p>
    <w:p>
      <w:pPr>
        <w:pStyle w:val="Heading1"/>
        <w:spacing w:after="160" w:before="360"/>
      </w:pPr>
      <w:r>
        <w:t xml:space="preserve">7. Data architecture</w:t>
      </w:r>
    </w:p>
    <w:p>
      <w:pPr>
        <w:spacing w:after="120"/>
      </w:pPr>
      <w:r>
        <w:t xml:space="preserve">CounterfactualResult v1.1: MVP lever domains, deferred levers, alternatives (lever values, assumption flags, metrics, deltas vs base including savings after purchase, feasibility), Pareto set, four objectives, rate sensitivity and lever ranking, plus structured trade-off claims for Stage 6.</w:t>
      </w:r>
    </w:p>
    <w:p>
      <w:pPr>
        <w:pStyle w:val="Heading1"/>
        <w:spacing w:after="160" w:before="360"/>
      </w:pPr>
      <w:r>
        <w:t xml:space="preserve">8. Interface dependencies</w:t>
      </w:r>
    </w:p>
    <w:p>
      <w:pPr>
        <w:pStyle w:val="ListParagraph"/>
        <w:numPr>
          <w:ilvl w:val="0"/>
          <w:numId w:val="2"/>
        </w:numPr>
        <w:spacing w:after="60"/>
      </w:pPr>
      <w:r>
        <w:t xml:space="preserve">Stage 3: F00, F01, F13 and F14 per alternative.</w:t>
      </w:r>
    </w:p>
    <w:p>
      <w:pPr>
        <w:pStyle w:val="ListParagraph"/>
        <w:numPr>
          <w:ilvl w:val="0"/>
          <w:numId w:val="2"/>
        </w:numPr>
        <w:spacing w:after="60"/>
      </w:pPr>
      <w:r>
        <w:t xml:space="preserve">Stage 4: identical catalog and assumption ids; with-offer runs from each alternative’s F13.</w:t>
      </w:r>
    </w:p>
    <w:p>
      <w:pPr>
        <w:pStyle w:val="ListParagraph"/>
        <w:numPr>
          <w:ilvl w:val="0"/>
          <w:numId w:val="2"/>
        </w:numPr>
        <w:spacing w:after="60"/>
      </w:pPr>
      <w:r>
        <w:t xml:space="preserve">Stage 6: shows assumption flags verbatim and never calls an option better or best.</w:t>
      </w:r>
    </w:p>
    <w:p>
      <w:pPr>
        <w:pStyle w:val="Heading1"/>
        <w:spacing w:after="160" w:before="360"/>
      </w:pPr>
      <w:r>
        <w:t xml:space="preserve">9. Deployment requirements</w:t>
      </w:r>
    </w:p>
    <w:p>
      <w:pPr>
        <w:spacing w:after="120"/>
      </w:pPr>
      <w:r>
        <w:t xml:space="preserve">Ships inside the api container; levers.yaml mounted read-only.</w:t>
      </w:r>
    </w:p>
    <w:p>
      <w:pPr>
        <w:pStyle w:val="Heading1"/>
        <w:spacing w:after="160" w:before="360"/>
      </w:pPr>
      <w:r>
        <w:t xml:space="preserve">10. Security requirements</w:t>
      </w:r>
    </w:p>
    <w:p>
      <w:pPr>
        <w:spacing w:after="120"/>
      </w:pPr>
      <w:r>
        <w:t xml:space="preserve">No new data; competing offers may include lender names, stored session-scoped only.</w:t>
      </w:r>
    </w:p>
    <w:p>
      <w:pPr>
        <w:pStyle w:val="Heading1"/>
        <w:spacing w:after="160" w:before="360"/>
      </w:pPr>
      <w:r>
        <w:t xml:space="preserve">11. Technology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Alternative</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Weighted score</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Reason not selected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Full v1.0 lever set (incl. hypothetical rate, price, delay)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Infeasible or underspecified alternatives (audit)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Constrained optimization with weighted objective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3.35</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Requires preference weights; opaque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Decision-tree heuristics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3.80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Encodes designer preferences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LLM-proposed alternatives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2.70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Unverifiable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Actionable-lever grid + Pareto + rate sensitivity (selected, v1.1)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4.70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t>
            </w:r>
          </w:p>
        </w:tc>
      </w:tr>
    </w:tbl>
    <w:p>
      <w:pPr>
        <w:spacing w:after="120"/>
      </w:pPr>
    </w:p>
    <w:p>
      <w:pPr>
        <w:pStyle w:val="Heading1"/>
        <w:spacing w:after="160" w:before="360"/>
      </w:pPr>
      <w:r>
        <w:t xml:space="preserve">12. Cost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Item</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Estimate</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Assumption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Compute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Under one second per analysis for ≤ 200 alternatives (to be measured)</w:t>
            </w:r>
          </w:p>
        </w:tc>
      </w:tr>
    </w:tbl>
    <w:p>
      <w:pPr>
        <w:spacing w:after="120"/>
      </w:pPr>
    </w:p>
    <w:p>
      <w:pPr>
        <w:pStyle w:val="Heading1"/>
        <w:spacing w:after="160" w:before="360"/>
      </w:pPr>
      <w:r>
        <w:t xml:space="preserve">13. Implementation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Milestone</w:t>
            </w:r>
          </w:p>
        </w:tc>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Checkpoint</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Deliverable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Levers, grid, evaluation, Pareto (4 objectives), base reproduction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CP3</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Alternatives screen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Rate sensitivity, lever ranking, constraints, label tests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CP3</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A-11r, A-36 to A-39 green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Price and delay levers (with required inputs)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post-MVP</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Deferred</w:t>
            </w:r>
          </w:p>
        </w:tc>
      </w:tr>
    </w:tbl>
    <w:p>
      <w:pPr>
        <w:spacing w:after="120"/>
      </w:pPr>
    </w:p>
    <w:p>
      <w:pPr>
        <w:pStyle w:val="Heading1"/>
        <w:spacing w:after="160" w:before="360"/>
      </w:pPr>
      <w:r>
        <w:t xml:space="preserve">14. Testing strategy</w:t>
      </w:r>
    </w:p>
    <w:p>
      <w:pPr>
        <w:pStyle w:val="ListParagraph"/>
        <w:numPr>
          <w:ilvl w:val="0"/>
          <w:numId w:val="2"/>
        </w:numPr>
        <w:spacing w:after="60"/>
      </w:pPr>
      <w:r>
        <w:t xml:space="preserve">Base reproduction and monotonicity (A-11r).</w:t>
      </w:r>
    </w:p>
    <w:p>
      <w:pPr>
        <w:pStyle w:val="ListParagraph"/>
        <w:numPr>
          <w:ilvl w:val="0"/>
          <w:numId w:val="2"/>
        </w:numPr>
        <w:spacing w:after="60"/>
      </w:pPr>
      <w:r>
        <w:t xml:space="preserve">+$2,000 down lowers the payment and lowers savings after purchase by $2,000, both visible (A-36).</w:t>
      </w:r>
    </w:p>
    <w:p>
      <w:pPr>
        <w:pStyle w:val="ListParagraph"/>
        <w:numPr>
          <w:ilvl w:val="0"/>
          <w:numId w:val="2"/>
        </w:numPr>
        <w:spacing w:after="60"/>
      </w:pPr>
      <w:r>
        <w:t xml:space="preserve">No APR outside verified offers (A-37); every term alternative labeled (A-38); required add-ons never removed (A-39).</w:t>
      </w:r>
    </w:p>
    <w:p>
      <w:pPr>
        <w:pStyle w:val="Heading1"/>
        <w:spacing w:after="160" w:before="360"/>
      </w:pPr>
      <w:r>
        <w:t xml:space="preserve">15. Final recommendation</w:t>
      </w:r>
    </w:p>
    <w:p>
      <w:pPr>
        <w:spacing w:after="120"/>
      </w:pPr>
      <w:r>
        <w:t xml:space="preserve">Implement the actionable-lever grid after scenarios are stable; four levers are enough for the demo. Use precise language: these are what-if calculations under stated assumptions. They are not causal estimates, not available offers unless verified, and not recommendations.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DecisionTwin architecture research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F5496"/>
      <w:sz w:val="30"/>
      <w:szCs w:val="30"/>
    </w:rPr>
  </w:style>
  <w:style w:type="paragraph" w:styleId="Heading2">
    <w:name w:val="Heading 2"/>
    <w:basedOn w:val="Normal"/>
    <w:next w:val="Normal"/>
    <w:qFormat/>
    <w:pPr>
      <w:outlineLvl w:val="1"/>
    </w:pPr>
    <w:rPr>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05 — Technical Stack Specification</dc:title>
  <dc:creator>DecisionTwin Supervisor Agent</dc:creator>
  <cp:lastModifiedBy>Un-named</cp:lastModifiedBy>
  <cp:revision>1</cp:revision>
  <dcterms:created xsi:type="dcterms:W3CDTF">2026-10-24T23:19:44.033Z</dcterms:created>
  <dcterms:modified xsi:type="dcterms:W3CDTF">2026-10-24T23:19:44.033Z</dcterms:modified>
</cp:coreProperties>
</file>

<file path=docProps/custom.xml><?xml version="1.0" encoding="utf-8"?>
<Properties xmlns="http://schemas.openxmlformats.org/officeDocument/2006/custom-properties" xmlns:vt="http://schemas.openxmlformats.org/officeDocument/2006/docPropsVTypes"/>
</file>