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0"/>
          <w:szCs w:val="40"/>
        </w:rPr>
        <w:t xml:space="preserve">Stage 06 — Technical Stack Specification</w:t>
      </w:r>
    </w:p>
    <w:p>
      <w:pPr>
        <w:spacing w:after="80"/>
      </w:pPr>
      <w:r>
        <w:rPr>
          <w:color w:val="555555"/>
          <w:sz w:val="22"/>
          <w:szCs w:val="22"/>
        </w:rPr>
        <w:t xml:space="preserve">Explainable AI &amp; Decision Experience (v1.1)</w:t>
      </w:r>
    </w:p>
    <w:p>
      <w:pPr>
        <w:pBdr>
          <w:bottom w:val="single" w:color="2F5496" w:sz="6" w:space="4"/>
        </w:pBdr>
        <w:spacing w:after="240"/>
      </w:pPr>
      <w:r>
        <w:rPr>
          <w:color w:val="777777"/>
          <w:sz w:val="18"/>
          <w:szCs w:val="18"/>
        </w:rPr>
        <w:t xml:space="preserve">DecisionTwin — HackPSU Fall 2026 (FNB Challenge · Nittany AI Challenge) · Architecture v1.1 (post-audit) · 2026-10-24</w:t>
      </w:r>
    </w:p>
    <w:p>
      <w:pPr>
        <w:pStyle w:val="Heading1"/>
        <w:spacing w:after="160" w:before="360"/>
      </w:pPr>
      <w:r>
        <w:t xml:space="preserve">0. Version 1.1 audit revision</w:t>
      </w:r>
    </w:p>
    <w:p>
      <w:pPr>
        <w:spacing w:after="120"/>
      </w:pPr>
      <w:r>
        <w:t xml:space="preserve">This specification was revised after the six-stage architecture audit of 2026-10-24 (review: reviews/stage_06_review.md; authoritative schemas: supervisor/api_and_data_contracts.md v1.1). The table lists what changed and why; the sections below reflect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386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Change</w:t>
            </w:r>
          </w:p>
        </w:tc>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What changed</w:t>
            </w:r>
          </w:p>
        </w:tc>
        <w:tc>
          <w:tcPr>
            <w:tcW w:type="dxa" w:w="38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CH-31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Claim-based deterministic explanations; LLM narration deferred to a claim-referenced design</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 numeric-membership gate passes misattributed, wrong-direction and causally false sentences built from permitted numbers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CH-32</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Key points first; readiness panel</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Too many metrics before any synthesis; users could not see what unlocks analyses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CH-33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Chips show source and verification separately ("You confirmed", "matched")</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"Verified" overstated user confirmation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CH-23, CH-14, CH-08</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Paired stress cards; two-track intake; data-mode banner</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Attribution of stress to the loan; parallel extraction; privacy transparency</w:t>
            </w:r>
          </w:p>
        </w:tc>
      </w:tr>
    </w:tbl>
    <w:p>
      <w:pPr>
        <w:spacing w:after="120"/>
      </w:pPr>
    </w:p>
    <w:p>
      <w:pPr>
        <w:pStyle w:val="Heading1"/>
        <w:spacing w:after="160" w:before="360"/>
      </w:pPr>
      <w:r>
        <w:t xml:space="preserve">1. Stage overview</w:t>
      </w:r>
    </w:p>
    <w:p>
      <w:pPr>
        <w:spacing w:after="120"/>
      </w:pPr>
      <w:r>
        <w:t xml:space="preserve">Stage 6 is the user experience and the explanation engine behind it. Every number shows its source and verification level. Every sentence is rendered from a typed claim built from the computed results, and key points lead the dashboard. A readiness panel shows which analyses are available. Optional LLM narration is deferred: when enabled later, it must cite claim ids and pass relational checks. The frontend is Next.js with TypeScript, Tailwind, shadcn/ui and Recharts, with Zod types generated from the OpenAPI v1.1 document.</w:t>
      </w:r>
    </w:p>
    <w:p>
      <w:pPr>
        <w:pStyle w:val="Heading1"/>
        <w:spacing w:after="160" w:before="360"/>
      </w:pPr>
      <w:r>
        <w:t xml:space="preserve">2. Selected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Component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Selection</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Why selected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Framework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Next.js App Router + TypeScript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Team familiarity; routing; server components for the report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Styling / components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Tailwind CSS + shadcn/ui</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Accessible primitives for chips, tables and drawers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Charts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Recharts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Covers paired stress views and the Pareto scatter</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Types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Zod schemas generated from OpenAPI v1.1</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Contract parity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Explanation engine (backend)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 builder + Jinja templates + key-point ranking</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Every sentence traceable to computed values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Accessibility checks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axe-core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Automated WCAG 2.1 AA checks</w:t>
            </w:r>
          </w:p>
        </w:tc>
      </w:tr>
    </w:tbl>
    <w:p>
      <w:pPr>
        <w:spacing w:after="120"/>
      </w:pPr>
    </w:p>
    <w:p>
      <w:pPr>
        <w:pStyle w:val="Heading1"/>
        <w:spacing w:after="160" w:before="360"/>
      </w:pPr>
      <w:r>
        <w:t xml:space="preserve">3. Frameworks and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Library</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Role</w:t>
            </w:r>
          </w:p>
        </w:tc>
        <w:tc>
          <w:tcPr>
            <w:tcW w:type="dxa" w:w="3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Version selection criteria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next, react, typescript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Application framework</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 majors as listed on nextjs.org; create-next-app defaults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tailwindcss, shadcn/ui</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Styling and components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 shadcn components copied into the repo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recharts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Charts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 2.x or later</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zod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Runtime schema validation</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jinja2, textstat (backend)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Templates; readability scoring</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axe-core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Accessibility tests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w:t>
            </w:r>
          </w:p>
        </w:tc>
      </w:tr>
    </w:tbl>
    <w:p>
      <w:pPr>
        <w:spacing w:after="120"/>
      </w:pPr>
    </w:p>
    <w:p>
      <w:pPr>
        <w:spacing w:after="120"/>
      </w:pPr>
      <w:r>
        <w:rPr>
          <w:i/>
          <w:iCs/>
          <w:color w:val="555555"/>
          <w:sz w:val="20"/>
          <w:szCs w:val="20"/>
        </w:rPr>
        <w:t xml:space="preserve">Pin exact versions in lockfiles at checkpoint CP0; prefer releases at least two weeks old; record chosen versions in the repository README. Versions listed below are selection criteria, not verified pins.</w:t>
      </w:r>
    </w:p>
    <w:p>
      <w:pPr>
        <w:pStyle w:val="Heading1"/>
        <w:spacing w:after="160" w:before="360"/>
      </w:pPr>
      <w:r>
        <w:t xml:space="preserve">4. Infrastructure requirements</w:t>
      </w:r>
    </w:p>
    <w:p>
      <w:pPr>
        <w:spacing w:after="120"/>
      </w:pPr>
      <w:r>
        <w:t xml:space="preserve">Node.js 20+ for the web container; the api container serves the report and explain endpoints. No analytics or third-party scripts beyond fonts.</w:t>
      </w:r>
    </w:p>
    <w:p>
      <w:pPr>
        <w:pStyle w:val="Heading1"/>
        <w:spacing w:after="160" w:before="360"/>
      </w:pPr>
      <w:r>
        <w:t xml:space="preserve">5. AI models and APIs</w:t>
      </w:r>
    </w:p>
    <w:p>
      <w:pPr>
        <w:spacing w:after="120"/>
      </w:pPr>
      <w:r>
        <w:t xml:space="preserve">No LLM in the MVP explanation path. Deferred design: the model receives typed claims and returns sentences that each cite claim ids. A validator checks that every number belongs to a cited claim, that direction words match the claim, that metric names match the claim subject, that every sentence cites a claim, and that no advice phrases appear. Any failure falls back to the template. The feature is enabled only after an adversarial test set (A-40) is fully rejected.</w:t>
      </w:r>
    </w:p>
    <w:p>
      <w:pPr>
        <w:pStyle w:val="Heading1"/>
        <w:spacing w:after="160" w:before="360"/>
      </w:pPr>
      <w:r>
        <w:t xml:space="preserve">6. Algorithm recommendations</w:t>
      </w:r>
    </w:p>
    <w:p>
      <w:pPr>
        <w:pStyle w:val="ListParagraph"/>
        <w:numPr>
          <w:ilvl w:val="0"/>
          <w:numId w:val="2"/>
        </w:numPr>
        <w:spacing w:after="60"/>
      </w:pPr>
      <w:r>
        <w:t xml:space="preserve">Claim types: value, change, comparison, threshold flag, scenario outcome, missing; each with subject metric, values, direction, evidence ids and assumption ids.</w:t>
      </w:r>
    </w:p>
    <w:p>
      <w:pPr>
        <w:pStyle w:val="ListParagraph"/>
        <w:numPr>
          <w:ilvl w:val="0"/>
          <w:numId w:val="2"/>
        </w:numPr>
        <w:spacing w:after="60"/>
      </w:pPr>
      <w:r>
        <w:t xml:space="preserve">Templates per claim type and metric; wording rules forbid "afford", "safe", "should", "best", "better" and "recommend"; scenario claims start "In this illustrative scenario"; comparisons include assumption flags.</w:t>
      </w:r>
    </w:p>
    <w:p>
      <w:pPr>
        <w:pStyle w:val="ListParagraph"/>
        <w:numPr>
          <w:ilvl w:val="0"/>
          <w:numId w:val="2"/>
        </w:numPr>
        <w:spacing w:after="60"/>
      </w:pPr>
      <w:r>
        <w:t xml:space="preserve">Key points: the cost claim, the monthly-change claim, and the most severe flag or stress outcome.</w:t>
      </w:r>
    </w:p>
    <w:p>
      <w:pPr>
        <w:pStyle w:val="ListParagraph"/>
        <w:numPr>
          <w:ilvl w:val="0"/>
          <w:numId w:val="2"/>
        </w:numPr>
        <w:spacing w:after="60"/>
      </w:pPr>
      <w:r>
        <w:t xml:space="preserve">One number formatter: headline values rounded with "about"; drawers show cents.</w:t>
      </w:r>
    </w:p>
    <w:p>
      <w:pPr>
        <w:pStyle w:val="ListParagraph"/>
        <w:numPr>
          <w:ilvl w:val="0"/>
          <w:numId w:val="2"/>
        </w:numPr>
        <w:spacing w:after="60"/>
      </w:pPr>
      <w:r>
        <w:t xml:space="preserve">Single report snapshot per screen set; stale-report banner on profile changes.</w:t>
      </w:r>
    </w:p>
    <w:p>
      <w:pPr>
        <w:pStyle w:val="Heading1"/>
        <w:spacing w:after="160" w:before="360"/>
      </w:pPr>
      <w:r>
        <w:t xml:space="preserve">7. Data architecture</w:t>
      </w:r>
    </w:p>
    <w:p>
      <w:pPr>
        <w:spacing w:after="120"/>
      </w:pPr>
      <w:r>
        <w:t xml:space="preserve">Claim, ExplanationEvidence (with verification), ExplanationSection (claims, template text, reserved narrative field null in the MVP), DecisionReport (key points, readiness, data mode), glossary of CFPB key terms (finance charge vs interest), citation table.</w:t>
      </w:r>
    </w:p>
    <w:p>
      <w:pPr>
        <w:pStyle w:val="Heading1"/>
        <w:spacing w:after="160" w:before="360"/>
      </w:pPr>
      <w:r>
        <w:t xml:space="preserve">8. Interface dependencies</w:t>
      </w:r>
    </w:p>
    <w:p>
      <w:pPr>
        <w:pStyle w:val="ListParagraph"/>
        <w:numPr>
          <w:ilvl w:val="0"/>
          <w:numId w:val="2"/>
        </w:numPr>
        <w:spacing w:after="60"/>
      </w:pPr>
      <w:r>
        <w:t xml:space="preserve">Stage 1: question card, why_we_ask, skip/decline/estimate, readiness panel, refinement list.</w:t>
      </w:r>
    </w:p>
    <w:p>
      <w:pPr>
        <w:pStyle w:val="ListParagraph"/>
        <w:numPr>
          <w:ilvl w:val="0"/>
          <w:numId w:val="2"/>
        </w:numPr>
        <w:spacing w:after="60"/>
      </w:pPr>
      <w:r>
        <w:t xml:space="preserve">Stage 2: verification table with evidence, check states, conflicts, offer chooser, payment-mismatch explanation.</w:t>
      </w:r>
    </w:p>
    <w:p>
      <w:pPr>
        <w:pStyle w:val="ListParagraph"/>
        <w:numPr>
          <w:ilvl w:val="0"/>
          <w:numId w:val="2"/>
        </w:numPr>
        <w:spacing w:after="60"/>
      </w:pPr>
      <w:r>
        <w:t xml:space="preserve">Stages 3–5: metrics, flags, breakdown, paired scenarios, alternatives with flags, rate sensitivity.</w:t>
      </w:r>
    </w:p>
    <w:p>
      <w:pPr>
        <w:pStyle w:val="Heading1"/>
        <w:spacing w:after="160" w:before="360"/>
      </w:pPr>
      <w:r>
        <w:t xml:space="preserve">9. Deployment requirements</w:t>
      </w:r>
    </w:p>
    <w:p>
      <w:pPr>
        <w:spacing w:after="120"/>
      </w:pPr>
      <w:r>
        <w:t xml:space="preserve">web container on port 3000 behind Docker Compose; API base URL from environment; optional Vercel deployment after CP2 with CORS allow-list on the API.</w:t>
      </w:r>
    </w:p>
    <w:p>
      <w:pPr>
        <w:pStyle w:val="Heading1"/>
        <w:spacing w:after="160" w:before="360"/>
      </w:pPr>
      <w:r>
        <w:t xml:space="preserve">10. Security requirements</w:t>
      </w:r>
    </w:p>
    <w:p>
      <w:pPr>
        <w:pStyle w:val="ListParagraph"/>
        <w:numPr>
          <w:ilvl w:val="0"/>
          <w:numId w:val="2"/>
        </w:numPr>
        <w:spacing w:after="60"/>
      </w:pPr>
      <w:r>
        <w:t xml:space="preserve">Session token held in memory (or httpOnly cookie in same-site deployment); delete-session action on every page.</w:t>
      </w:r>
    </w:p>
    <w:p>
      <w:pPr>
        <w:pStyle w:val="ListParagraph"/>
        <w:numPr>
          <w:ilvl w:val="0"/>
          <w:numId w:val="2"/>
        </w:numPr>
        <w:spacing w:after="60"/>
      </w:pPr>
      <w:r>
        <w:t xml:space="preserve">No third-party analytics; printed report excludes raw document pages.</w:t>
      </w:r>
    </w:p>
    <w:p>
      <w:pPr>
        <w:pStyle w:val="ListParagraph"/>
        <w:numPr>
          <w:ilvl w:val="0"/>
          <w:numId w:val="2"/>
        </w:numPr>
        <w:spacing w:after="60"/>
      </w:pPr>
      <w:r>
        <w:t xml:space="preserve">Non-advice framing enforced by templates, deny-list and disclaimers.</w:t>
      </w:r>
    </w:p>
    <w:p>
      <w:pPr>
        <w:pStyle w:val="Heading1"/>
        <w:spacing w:after="160" w:before="360"/>
      </w:pPr>
      <w:r>
        <w:t xml:space="preserve">11. Technology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Alternative</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Weighted score</w:t>
            </w:r>
          </w:p>
        </w:tc>
        <w:tc>
          <w:tcPr>
            <w:tcW w:type="dxa" w:w="4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Reason not selected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Template-only (no claims model)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4.45</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Claims add traceability and key points at little cost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 free-form from results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3.45</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Unverifiable numbers and relationships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Hybrid narration + numeric gate (v1.0)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3.90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Gate cannot validate relationships (audit rescoring)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RAG over CFPB corpus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3.00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Citations are already structured; adds a vector store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Claim-based templates; narration deferred (selected, v1.1)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4.65</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t>
            </w:r>
          </w:p>
        </w:tc>
      </w:tr>
    </w:tbl>
    <w:p>
      <w:pPr>
        <w:spacing w:after="120"/>
      </w:pPr>
    </w:p>
    <w:p>
      <w:pPr>
        <w:pStyle w:val="Heading1"/>
        <w:spacing w:after="160" w:before="360"/>
      </w:pPr>
      <w:r>
        <w:t xml:space="preserve">12. Cost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Item</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Estimate</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Assumption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Narration calls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negligible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Up to six sections per report, about 850 tokens each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Hosting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free tier</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Vercel hobby tier for the demo period</w:t>
            </w:r>
          </w:p>
        </w:tc>
      </w:tr>
    </w:tbl>
    <w:p>
      <w:pPr>
        <w:spacing w:after="120"/>
      </w:pPr>
    </w:p>
    <w:p>
      <w:pPr>
        <w:spacing w:after="120"/>
      </w:pPr>
      <w:r>
        <w:rPr>
          <w:i/>
          <w:iCs/>
          <w:color w:val="555555"/>
          <w:sz w:val="20"/>
          <w:szCs w:val="20"/>
        </w:rPr>
        <w:t xml:space="preserve">Cost figures are estimates for planning. Model prices must be read from the provider pricing page on the day; hackathon volume is expected to fall within free-tier or sponsor credits.</w:t>
      </w:r>
    </w:p>
    <w:p>
      <w:pPr>
        <w:pStyle w:val="Heading1"/>
        <w:spacing w:after="160" w:before="360"/>
      </w:pPr>
      <w:r>
        <w:t xml:space="preserve">13. Implementation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Milestone</w:t>
            </w:r>
          </w:p>
        </w:tc>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Checkpoint</w:t>
            </w:r>
          </w:p>
        </w:tc>
        <w:tc>
          <w:tcPr>
            <w:tcW w:type="dxa" w:w="4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Deliverable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App shell; key points and With-this-loan with source and verification chips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CP1</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Vertical slice visible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Two-track intake with readiness panel; verification table; paired stress cards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CP2</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Full flow</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Alternatives, missing info, assumptions, print report; axe pass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CP3</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Feature complete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Claim-referenced narration (deferred)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after A-40 passes</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Optional AI wording</w:t>
            </w:r>
          </w:p>
        </w:tc>
      </w:tr>
    </w:tbl>
    <w:p>
      <w:pPr>
        <w:spacing w:after="120"/>
      </w:pPr>
    </w:p>
    <w:p>
      <w:pPr>
        <w:pStyle w:val="Heading1"/>
        <w:spacing w:after="160" w:before="360"/>
      </w:pPr>
      <w:r>
        <w:t xml:space="preserve">14. Testing strategy</w:t>
      </w:r>
    </w:p>
    <w:p>
      <w:pPr>
        <w:pStyle w:val="ListParagraph"/>
        <w:numPr>
          <w:ilvl w:val="0"/>
          <w:numId w:val="2"/>
        </w:numPr>
        <w:spacing w:after="60"/>
      </w:pPr>
      <w:r>
        <w:t xml:space="preserve">Every rendered sentence maps to at least one claim; every numeric node has an evidence id (A-12r).</w:t>
      </w:r>
    </w:p>
    <w:p>
      <w:pPr>
        <w:pStyle w:val="ListParagraph"/>
        <w:numPr>
          <w:ilvl w:val="0"/>
          <w:numId w:val="2"/>
        </w:numPr>
        <w:spacing w:after="60"/>
      </w:pPr>
      <w:r>
        <w:t xml:space="preserve">Key points reproducible from report values (A-41); no chip says "verified" (A-42).</w:t>
      </w:r>
    </w:p>
    <w:p>
      <w:pPr>
        <w:pStyle w:val="ListParagraph"/>
        <w:numPr>
          <w:ilvl w:val="0"/>
          <w:numId w:val="2"/>
        </w:numPr>
        <w:spacing w:after="60"/>
      </w:pPr>
      <w:r>
        <w:t xml:space="preserve">Three hallway tests reported as qualitative observations (n = 3).</w:t>
      </w:r>
    </w:p>
    <w:p>
      <w:pPr>
        <w:pStyle w:val="ListParagraph"/>
        <w:numPr>
          <w:ilvl w:val="0"/>
          <w:numId w:val="2"/>
        </w:numPr>
        <w:spacing w:after="60"/>
      </w:pPr>
      <w:r>
        <w:t xml:space="preserve">axe-core on four screens; keyboard walkthrough; template readability at grade 8 or below.</w:t>
      </w:r>
    </w:p>
    <w:p>
      <w:pPr>
        <w:pStyle w:val="Heading1"/>
        <w:spacing w:after="160" w:before="360"/>
      </w:pPr>
      <w:r>
        <w:t xml:space="preserve">15. Final recommendation</w:t>
      </w:r>
    </w:p>
    <w:p>
      <w:pPr>
        <w:spacing w:after="120"/>
      </w:pPr>
      <w:r>
        <w:t xml:space="preserve">Build the claim builder, key points and source-and-verification chips first; they are the trust mechanism judges can see. Keep AI narration deferred until it can cite claims and pass the relational tests. Present the product as consequence analysis with sources, not advice.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DecisionTwin architecture research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2F5496"/>
      <w:sz w:val="30"/>
      <w:szCs w:val="30"/>
    </w:rPr>
  </w:style>
  <w:style w:type="paragraph" w:styleId="Heading2">
    <w:name w:val="Heading 2"/>
    <w:basedOn w:val="Normal"/>
    <w:next w:val="Normal"/>
    <w:qFormat/>
    <w:pPr>
      <w:outlineLvl w:val="1"/>
    </w:pPr>
    <w:rPr>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06 — Technical Stack Specification</dc:title>
  <dc:creator>DecisionTwin Supervisor Agent</dc:creator>
  <cp:lastModifiedBy>Un-named</cp:lastModifiedBy>
  <cp:revision>1</cp:revision>
  <dcterms:created xsi:type="dcterms:W3CDTF">2026-10-24T23:19:44.070Z</dcterms:created>
  <dcterms:modified xsi:type="dcterms:W3CDTF">2026-10-24T23:19:44.071Z</dcterms:modified>
</cp:coreProperties>
</file>

<file path=docProps/custom.xml><?xml version="1.0" encoding="utf-8"?>
<Properties xmlns="http://schemas.openxmlformats.org/officeDocument/2006/custom-properties" xmlns:vt="http://schemas.openxmlformats.org/officeDocument/2006/docPropsVTypes"/>
</file>