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sz w:val="40"/>
          <w:szCs w:val="40"/>
        </w:rPr>
        <w:t xml:space="preserve">DecisionTwin — Master Technical Specification</w:t>
      </w:r>
    </w:p>
    <w:p>
      <w:pPr>
        <w:spacing w:after="80"/>
      </w:pPr>
      <w:r>
        <w:rPr>
          <w:color w:val="555555"/>
          <w:sz w:val="22"/>
          <w:szCs w:val="22"/>
        </w:rPr>
        <w:t xml:space="preserve">Consolidated engineering specification for the four-developer team (v1.1, post-audit)</w:t>
      </w:r>
    </w:p>
    <w:p>
      <w:pPr>
        <w:pBdr>
          <w:bottom w:val="single" w:color="2F5496" w:sz="6" w:space="4"/>
        </w:pBdr>
        <w:spacing w:after="240"/>
      </w:pPr>
      <w:r>
        <w:rPr>
          <w:color w:val="777777"/>
          <w:sz w:val="18"/>
          <w:szCs w:val="18"/>
        </w:rPr>
        <w:t xml:space="preserve">DecisionTwin — HackPSU Fall 2026 (FNB Challenge · Nittany AI Challenge) · Architecture v1.1 (post-audit) · 2026-10-24</w:t>
      </w:r>
    </w:p>
    <w:p>
      <w:pPr>
        <w:pStyle w:val="Heading1"/>
        <w:spacing w:after="160" w:before="360"/>
      </w:pPr>
      <w:r>
        <w:t xml:space="preserve">0. Version 1.1 audit summary</w:t>
      </w:r>
    </w:p>
    <w:p>
      <w:pPr>
        <w:spacing w:after="120"/>
      </w:pPr>
      <w:r>
        <w:t xml:space="preserve">This master specification reflects architecture v1.1, produced by a six-stage audit on 2026-10-24 (reviews/supervisor_final_review.md). The topology is unchanged. The audit corrected financial-math defects, replaced unsupported assumptions, added document cross-checks and a data-handling mode, and replaced AI narration with claim-based explanations. Verdict: READY WITH NONBLOCKING LIMITATIONS. Implementation authorization is a separate team decision.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300"/>
        <w:gridCol w:w="4260"/>
      </w:tblGrid>
      <w:tr>
        <w:trPr>
          <w:tblHeader/>
        </w:trPr>
        <w:tc>
          <w:tcPr>
            <w:tcW w:type="dxa" w:w="18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Area</w:t>
            </w:r>
          </w:p>
        </w:tc>
        <w:tc>
          <w:tcPr>
            <w:tcW w:type="dxa" w:w="3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v1.0</w:t>
            </w:r>
          </w:p>
        </w:tc>
        <w:tc>
          <w:tcPr>
            <w:tcW w:type="dxa" w:w="42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v1.1 (reason)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Loan math</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Payment on amount financed; APR from AF − PFC; total cost with gross trade value</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Payment on principal; APR on amount financed; equity-based total with breakdown (Reg Z §1026.18(b); defects reproduced numerically)</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Household math</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Reserve from pre-purchase savings; full new-car costs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Savings after purchase; incremental costs net of the replaced vehicle; paid-off debts removed</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Questioning</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Additive score; global completeness + sensitivity stop</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Per-analysis readiness; blocking-first priority; deficits acknowledged, not rejected; declined state</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Fact state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Single status incl. "verified" (= user confirmed)</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status × verification (none, user_confirmed, evidence_matched, evidence_matched_user_confirmed)</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Documents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Quote match + arithmetic</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 label anchors, deterministic TILA reader, itemization, offer chooser; text PDFs in the MVP</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Data handling</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"Check terms on the day"</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LLM_DATA_MODE: real data only on paid Gemini quota (unpaid-tier terms prohibit sensitive data)</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Scenarios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"CFPB median" 3-week shocks; negative balances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Illustrative user-relative scenarios; paired without/with offer; savings floor + unfunded gap</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Alternatives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6 levers incl. hypothetical −1 pt APR</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4 actionable levers; rate sensitivity statement; what-if labels; savings after purchase as an objective</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Explanations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Templates + LLM narration with numeric gate</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Claim-based templates and key points; narration deferred to a claim-referenced design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LLM call types (MVP)</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3</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2 (answer parsing, document extraction)</w:t>
            </w:r>
          </w:p>
        </w:tc>
      </w:tr>
    </w:tbl>
    <w:p>
      <w:pPr>
        <w:spacing w:after="120"/>
      </w:pPr>
    </w:p>
    <w:p>
      <w:pPr>
        <w:pStyle w:val="Heading1"/>
        <w:spacing w:after="160" w:before="360"/>
      </w:pPr>
      <w:r>
        <w:t xml:space="preserve">1. Project vision and scope</w:t>
      </w:r>
    </w:p>
    <w:p>
      <w:pPr>
        <w:spacing w:after="120"/>
      </w:pPr>
      <w:r>
        <w:t xml:space="preserve">DecisionTwin helps an adult evaluating an auto or installment loan understand five things: their current monthly position, the true cost of the offer, how the commitment changes their month and savings, how it behaves under illustrative shocks, and which actionable alternatives change the outcome. It separates verified evidence, user statements, calculations and assumptions, and it never tells the user whether to sign.</w:t>
      </w:r>
    </w:p>
    <w:p>
      <w:pPr>
        <w:spacing w:after="120"/>
      </w:pPr>
      <w:r>
        <w:t xml:space="preserve">Targets: HackPSU Fall 2026 FNB Challenge (Trust, Decisions &amp; Financial Confidence) and Nittany AI Challenge. Verified deadlines (Devpost, checked twice on 2026-10-24): Devpost project created by Saturday 23:59; hard deadline Sunday 12:00; edits until 13:45; five-minute video and public repository required.</w:t>
      </w:r>
    </w:p>
    <w:p>
      <w:pPr>
        <w:pStyle w:val="Heading2"/>
        <w:spacing w:after="120" w:before="240"/>
      </w:pPr>
      <w:r>
        <w:t xml:space="preserve">Scope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Tier</w:t>
            </w:r>
          </w:p>
        </w:tc>
        <w:tc>
          <w:tcPr>
            <w:tcW w:type="dxa" w:w="71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Contents</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Competition MVP</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Two-track intake with readiness and blocking-first questions; manual offer entry with checks; text-PDF extraction with label anchors, independent TILA reader and offer chooser; corrected engine F00–F14; paired illustrative scenarios with break-even for 3 and 6 months; four-lever alternatives with Pareto set; claim-based key points and sections with source and verification chips; missing-info panel; print report; data-mode banner; local Docker Compose demo</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Enhancements</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Image mode for scans (with consent); claim-referenced LLM narration after A-40; custom scenarios and sliders; evidence highlights; cloud deployment</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Post-hackathon</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Accounts; Postgres; managed OCR second reader; consented data connections; irregular-period APR; price and delay levers; more decision types; localization; formal accessibility audit</w:t>
            </w:r>
          </w:p>
        </w:tc>
      </w:tr>
    </w:tbl>
    <w:p>
      <w:pPr>
        <w:spacing w:after="120"/>
      </w:pPr>
    </w:p>
    <w:p>
      <w:pPr>
        <w:pStyle w:val="Heading1"/>
        <w:spacing w:after="160" w:before="360"/>
      </w:pPr>
      <w:r>
        <w:t xml:space="preserve">2. Final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4560"/>
      </w:tblGrid>
      <w:tr>
        <w:trPr>
          <w:tblHeader/>
        </w:trPr>
        <w:tc>
          <w:tcPr>
            <w:tcW w:type="dxa" w:w="18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Layer</w:t>
            </w:r>
          </w:p>
        </w:tc>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Choice</w:t>
            </w:r>
          </w:p>
        </w:tc>
        <w:tc>
          <w:tcPr>
            <w:tcW w:type="dxa" w:w="45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Justification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Frontend</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Next.js (App Router), TypeScript, Tailwind, shadcn/ui, Recharts, Zod</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Team familiarity; accessible primitives; contract parity</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Backend</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Python 3.12, FastAPI, Pydantic v2, uvicorn</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Owns PDF, LLM SDK and the Decimal engine; OpenAPI for TS types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Graph</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NetworkX generated from ontology.yaml + engine REQUIRED_INPUTS</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Small typed graph that cannot drift from engine needs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Numerics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Standard-library decimal</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Exact cents; reproduces CFPB and Reg Z examples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LLM</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Gemini API via google-genai, one adapter, Flash-tier model (string confirmed at CP0), LLM_DATA_MODE, inline requests</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Structured outputs verified; sponsor track; data terms respected</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Documents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PyMuPDF, RapidFuzz, regex TILA reader</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Text layer, sanitization, evidence matching, independent second source</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Storage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SQLite via SQLModel (MVP), Postgres (production)</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Zero ops now; same models later</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Packaging</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Docker Compose (web + api)</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Reproducible demo</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Testing</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pytest, golden files, Vitest (utilities), axe-core</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Reference vectors and reproducibility</w:t>
            </w:r>
          </w:p>
        </w:tc>
      </w:tr>
    </w:tbl>
    <w:p>
      <w:pPr>
        <w:spacing w:after="120"/>
      </w:pPr>
    </w:p>
    <w:p>
      <w:pPr>
        <w:spacing w:after="120"/>
      </w:pPr>
      <w:r>
        <w:rPr>
          <w:i/>
          <w:iCs/>
          <w:color w:val="555555"/>
          <w:sz w:val="20"/>
          <w:szCs w:val="20"/>
        </w:rPr>
        <w:t xml:space="preserve">Pin exact versions in lockfiles at CP0 and prefer releases at least two weeks old. Versions are selection criteria here, not verified pins.</w:t>
      </w:r>
    </w:p>
    <w:p>
      <w:pPr>
        <w:pStyle w:val="Heading1"/>
        <w:spacing w:after="160" w:before="360"/>
      </w:pPr>
      <w:r>
        <w:t xml:space="preserve">3. The six stage architectures (v1.1)</w:t>
      </w:r>
    </w:p>
    <w:p>
      <w:pPr>
        <w:pStyle w:val="Heading2"/>
        <w:spacing w:after="120" w:before="240"/>
      </w:pPr>
      <w:r>
        <w:t xml:space="preserve">3.1 Stage 1 — Dependency graph and adaptive questioning (REVISE)</w:t>
      </w:r>
    </w:p>
    <w:p>
      <w:pPr>
        <w:spacing w:after="120"/>
      </w:pPr>
      <w:r>
        <w:t xml:space="preserve">Append-only fact ledger with status and verification; a typed graph derived from the engine's REQUIRED_INPUTS; AnalysisReadiness for loan cost, cash-flow impact, reserve impact, stress test, alternatives, DTI and equity timeline. Blocking questions are asked first in dependency order, then optional refinements; there is no numeric score. A deficit is acknowledged once and analyzed, never rejected. Debt items carry their own status; declined facts are never re-asked. New facts: replaced vehicle and its costs, debts paid off by the transaction, down-payment source, low-month income. Offer extraction runs in parallel, and loan terms are never interview questions.</w:t>
      </w:r>
    </w:p>
    <w:p>
      <w:pPr>
        <w:pStyle w:val="Heading2"/>
        <w:spacing w:after="120" w:before="240"/>
      </w:pPr>
      <w:r>
        <w:t xml:space="preserve">3.2 Stage 2 — Document intelligence (REVISE)</w:t>
      </w:r>
    </w:p>
    <w:p>
      <w:pPr>
        <w:spacing w:after="120"/>
      </w:pPr>
      <w:r>
        <w:t xml:space="preserve">Data-mode gate; PyMuPDF text; one Gemini call returning label, value, page and quote per field, the offer count and itemization; a deterministic TILA-box reader as an independent second source; checks (quote match, label anchor, reader agreement, arithmetic, itemization, APR warn, range, product booleans); an offer chooser for multi-option documents; a verification table with per-field user action. Model confidence is internal only. Manual entry has the same checks. Scans are enhanced scope.</w:t>
      </w:r>
    </w:p>
    <w:p>
      <w:pPr>
        <w:pStyle w:val="Heading2"/>
        <w:spacing w:after="120" w:before="240"/>
      </w:pPr>
      <w:r>
        <w:t xml:space="preserve">3.3 Stage 3 — Financial engine (REVISE; critical fixes)</w:t>
      </w:r>
    </w:p>
    <w:p>
      <w:pPr>
        <w:spacing w:after="120"/>
      </w:pPr>
      <w:r>
        <w:t xml:space="preserve">F00 principal resolution; F01 payment on the principal with disclosed-payment comparison; F02 total of payments; F03 finance charge and F03i interest; F04 total paid through the deal with breakdown (equity basis); F05 APR on amount financed; F06 LTV and negative equity at start; F07/F07b ratios; F08/F09 monthly leftover before/after; F13 savings after purchase; F14 incremental vehicle costs; F10/F10b reserve months; F11 savings months of income; F12 equity timeline only from user estimates. Flags v1.1 are cited or informational, never verdicts.</w:t>
      </w:r>
    </w:p>
    <w:p>
      <w:pPr>
        <w:pStyle w:val="Heading2"/>
        <w:spacing w:after="120" w:before="240"/>
      </w:pPr>
      <w:r>
        <w:t xml:space="preserve">3.4 Stage 4 — Risk simulation (REVISE)</w:t>
      </w:r>
    </w:p>
    <w:p>
      <w:pPr>
        <w:spacing w:after="120"/>
      </w:pPr>
      <w:r>
        <w:t xml:space="preserve">Illustrative user-relative scenarios (expense of one month of essentials; −25% income for 3 months; low month every month; two months without income; +20% vehicle costs), each run without and with the offer. Savings are floored at zero with an unfunded gap; break-even income drop for 3 and 6 months; OAT sensitivity. CFPB research is a context sentence only. Monte Carlo is deferred.</w:t>
      </w:r>
    </w:p>
    <w:p>
      <w:pPr>
        <w:pStyle w:val="Heading2"/>
        <w:spacing w:after="120" w:before="240"/>
      </w:pPr>
      <w:r>
        <w:t xml:space="preserve">3.5 Stage 5 — Counterfactual intelligence (REVISE)</w:t>
      </w:r>
    </w:p>
    <w:p>
      <w:pPr>
        <w:spacing w:after="120"/>
      </w:pPr>
      <w:r>
        <w:t xml:space="preserve">Levers: cash down (moves savings after purchase), term (same rate assumed), remove optional add-ons, verified competing offers. Pareto over finance charge, monthly leftover after, savings after purchase and break-even. Lever ranking and a rate-sensitivity statement replace the hypothetical lower-rate option. Price and delay levers are deferred.</w:t>
      </w:r>
    </w:p>
    <w:p>
      <w:pPr>
        <w:pStyle w:val="Heading2"/>
        <w:spacing w:after="120" w:before="240"/>
      </w:pPr>
      <w:r>
        <w:t xml:space="preserve">3.6 Stage 6 — Explainable decision experience (REVISE; narration DEFERRED)</w:t>
      </w:r>
    </w:p>
    <w:p>
      <w:pPr>
        <w:spacing w:after="120"/>
      </w:pPr>
      <w:r>
        <w:t xml:space="preserve">Claims built from results and rendered by templates; key points first; sections for with this loan, under stress (paired), alternatives, missing info and assumptions; readiness panel; chips that combine source and verification; data-mode banner; print report. Claim-referenced LLM narration is specified but deferred.</w:t>
      </w:r>
    </w:p>
    <w:p>
      <w:pPr>
        <w:pStyle w:val="Heading1"/>
        <w:spacing w:after="160" w:before="360"/>
      </w:pPr>
      <w:r>
        <w:t xml:space="preserve">4. Shared data models (contracts v1.1)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560"/>
      </w:tblGrid>
      <w:tr>
        <w:trPr>
          <w:tblHeader/>
        </w:trPr>
        <w:tc>
          <w:tcPr>
            <w:tcW w:type="dxa" w:w="2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Object</w:t>
            </w:r>
          </w:p>
        </w:tc>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Purpose</w:t>
            </w:r>
          </w:p>
        </w:tc>
        <w:tc>
          <w:tcPr>
            <w:tcW w:type="dxa" w:w="45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Key fields</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FinancialFact</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Ledger entry</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key, value (string decimal), status, verification, source_kind, uncertainty, evidence, supersedes; item facts for debts</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FinancialProfile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View</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facts, readiness, acknowledgements, conflicts, profile_version</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AnalysisReadiness (new)</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Per-analysis availability</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analysis_id, available, required, missing, declined, awaiting_offer, reason</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QuestionCandidate / Response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Intake loop</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priority_class, blocks_analyses, dependency_order, refinement_effect; declined flag</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VerifiedFinancialTerm</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Document or manual term</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value, status, verification, evidence (label, value text, quote, page), checks incl. label_anchor and independent_reader</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LoanOffer</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Offer terms</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principal, amount_financed, PFC, cash_down, trade-in, itemization, derived equity, offer_choice, ready_for_calculation</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CalculationResult</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Engine output</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F00–F14 metrics with formula ids, breakdown, flags v1.1, required_inputs</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ScenarioRequest / Result</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Stress tests</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runs (without/with), start_balance, floored paths, unfunded_gap, runway, break-even 3/6</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CounterfactualResult</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Alternatives</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MVP levers, assumption_flags, four objectives, Pareto set, rate_sensitivity</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Claim / ExplanationSection</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Explanations</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claim type, subject metric, values, direction, evidence; template_text; narrative reserved null</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DecisionReport</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Snapshot</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readiness, key_points, data_mode, offer, results, claims, missing information, disclaimers</w:t>
            </w:r>
          </w:p>
        </w:tc>
      </w:tr>
    </w:tbl>
    <w:p>
      <w:pPr>
        <w:spacing w:after="120"/>
      </w:pPr>
    </w:p>
    <w:p>
      <w:pPr>
        <w:spacing w:after="120"/>
      </w:pPr>
      <w:r>
        <w:t xml:space="preserve">Rules: money as string decimals; unknown values are missing or declined facts, never zero; weakest-input status and verification propagate; the engine is the only arithmetic source; Stage 1 readiness derives from the engine's REQUIRED_INPUTS. Full JSON is in supervisor/api_and_data_contracts.md v1.1, the only authoritative schema source.</w:t>
      </w:r>
    </w:p>
    <w:p>
      <w:pPr>
        <w:pStyle w:val="Heading1"/>
        <w:spacing w:after="160" w:before="360"/>
      </w:pPr>
      <w:r>
        <w:t xml:space="preserve">5. API contracts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200"/>
        <w:gridCol w:w="4560"/>
      </w:tblGrid>
      <w:tr>
        <w:trPr>
          <w:tblHeader/>
        </w:trPr>
        <w:tc>
          <w:tcPr>
            <w:tcW w:type="dxa" w:w="3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Endpoint</w:t>
            </w:r>
          </w:p>
        </w:tc>
        <w:tc>
          <w:tcPr>
            <w:tcW w:type="dxa" w:w="1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Owner</w:t>
            </w:r>
          </w:p>
        </w:tc>
        <w:tc>
          <w:tcPr>
            <w:tcW w:type="dxa" w:w="45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Purpose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POST /api/v1/sessions · GET · DELETE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Dev 4</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Create, read and purge a session (data mode shown)</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POST /sessions/{id}/facts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Dev 2</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Typed facts</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GET /sessions/{id}/next-question · POST /answers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Dev 2</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Blocking-first intake loop with decline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GET /sessions/{id}/readiness (new)</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Dev 2</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AnalysisReadiness list</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POST /sessions/{id}/documents · GET /documents/{doc_id} · POST /verify</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Dev 2</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Upload (data-mode gated), extraction status, per-term actions and offer choice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POST /sessions/{id}/offers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Dev 2</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Manual offer with checks</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POST /sessions/{id}/analysis · GET /reports/{id}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Dev 1</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Engine, paired scenarios, alternatives, claims (idempotent)</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POST /reports/{id}/explain</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Dev 4</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Deferred: returns 501 in the MVP</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GET /config/assumptions · GET /health</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Dev 1 / Dev 4</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Assumptions with labels and citations; health incl. data mode</w:t>
            </w:r>
          </w:p>
        </w:tc>
      </w:tr>
    </w:tbl>
    <w:p>
      <w:pPr>
        <w:spacing w:after="120"/>
      </w:pPr>
    </w:p>
    <w:p>
      <w:pPr>
        <w:spacing w:after="120"/>
      </w:pPr>
      <w:r>
        <w:t xml:space="preserve">Error codes: VALIDATION_ERROR, UNAUTHORIZED, NOT_FOUND, CONFLICTING_FACTS (genuine contradictions only), UNSUPPORTED_PRODUCT, INSUFFICIENT_INFORMATION, EXTRACTION_FAILED, DATA_MODE_RESTRICTED, NOT_IMPLEMENTED, LLM_UNAVAILABLE, LLM_MALFORMED_OUTPUT, RATE_LIMITED, INTERNAL.</w:t>
      </w:r>
    </w:p>
    <w:p>
      <w:pPr>
        <w:pStyle w:val="Heading1"/>
        <w:spacing w:after="160" w:before="360"/>
      </w:pPr>
      <w:r>
        <w:t xml:space="preserve">6. Infrastructure decisions</w:t>
      </w:r>
    </w:p>
    <w:p>
      <w:pPr>
        <w:pStyle w:val="ListParagraph"/>
        <w:numPr>
          <w:ilvl w:val="0"/>
          <w:numId w:val="2"/>
        </w:numPr>
        <w:spacing w:after="60"/>
      </w:pPr>
      <w:r>
        <w:t xml:space="preserve">Two containers (web, api) via Docker Compose on a laptop as the primary demo.</w:t>
      </w:r>
    </w:p>
    <w:p>
      <w:pPr>
        <w:pStyle w:val="ListParagraph"/>
        <w:numPr>
          <w:ilvl w:val="0"/>
          <w:numId w:val="2"/>
        </w:numPr>
        <w:spacing w:after="60"/>
      </w:pPr>
      <w:r>
        <w:t xml:space="preserve">SQLite file in WAL mode on a volume; session temp directory for uploads.</w:t>
      </w:r>
    </w:p>
    <w:p>
      <w:pPr>
        <w:pStyle w:val="ListParagraph"/>
        <w:numPr>
          <w:ilvl w:val="0"/>
          <w:numId w:val="2"/>
        </w:numPr>
        <w:spacing w:after="60"/>
      </w:pPr>
      <w:r>
        <w:t xml:space="preserve">Outbound HTTPS to the Gemini API only, inline requests, governed by LLM_DATA_MODE.</w:t>
      </w:r>
    </w:p>
    <w:p>
      <w:pPr>
        <w:pStyle w:val="ListParagraph"/>
        <w:numPr>
          <w:ilvl w:val="0"/>
          <w:numId w:val="2"/>
        </w:numPr>
        <w:spacing w:after="60"/>
      </w:pPr>
      <w:r>
        <w:t xml:space="preserve">Optional cloud deployment after CP2 with a CORS allow-list and platform secrets.</w:t>
      </w:r>
    </w:p>
    <w:p>
      <w:pPr>
        <w:pStyle w:val="Heading1"/>
        <w:spacing w:after="160" w:before="360"/>
      </w:pPr>
      <w:r>
        <w:t xml:space="preserve">7. AI and model recommendations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2400"/>
        <w:gridCol w:w="2960"/>
      </w:tblGrid>
      <w:tr>
        <w:trPr>
          <w:tblHeader/>
        </w:trPr>
        <w:tc>
          <w:tcPr>
            <w:tcW w:type="dxa" w:w="18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Call</w:t>
            </w:r>
          </w:p>
        </w:tc>
        <w:tc>
          <w:tcPr>
            <w:tcW w:type="dxa" w:w="2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Input</w:t>
            </w:r>
          </w:p>
        </w:tc>
        <w:tc>
          <w:tcPr>
            <w:tcW w:type="dxa" w:w="2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Output</w:t>
            </w:r>
          </w:p>
        </w:tc>
        <w:tc>
          <w:tcPr>
            <w:tcW w:type="dxa" w:w="29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Guardrails and fallback</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Answer parsing (MVP; paid mode only)</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Free-text answer + expected keys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Facts incl. debt items and low month; decline intent</w:t>
            </w:r>
          </w:p>
        </w:tc>
        <w:tc>
          <w:tcPr>
            <w:tcW w:type="dxa" w:w="2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Key whitelist, Decimal parsing; fallback typed widget</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Document extraction (MVP)</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Redacted page text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Terms with label, value, page, quote; offers count; itemization</w:t>
            </w:r>
          </w:p>
        </w:tc>
        <w:tc>
          <w:tcPr>
            <w:tcW w:type="dxa" w:w="2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Untrusted framing, no tools, label anchor, independent reader, arithmetic and itemization checks, user action; fallback manual entry</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Narration (deferred)</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Claims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Sentences citing claim ids</w:t>
            </w:r>
          </w:p>
        </w:tc>
        <w:tc>
          <w:tcPr>
            <w:tcW w:type="dxa" w:w="2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Per-claim number, direction, metric-name and coverage checks; fallback template</w:t>
            </w:r>
          </w:p>
        </w:tc>
      </w:tr>
    </w:tbl>
    <w:p>
      <w:pPr>
        <w:spacing w:after="120"/>
      </w:pPr>
    </w:p>
    <w:p>
      <w:pPr>
        <w:spacing w:after="120"/>
      </w:pPr>
      <w:r>
        <w:t xml:space="preserve">Gemini API terms (verified 2026-10-24): on unpaid quota, submitted content may be used to improve Google products and read by human reviewers, and sensitive or personal information should not be submitted. On paid services, prompts and responses are not used to improve products. Therefore real user data requires paid mode; the demo default is synthetic_only.</w:t>
      </w:r>
    </w:p>
    <w:p>
      <w:pPr>
        <w:pStyle w:val="Heading1"/>
        <w:spacing w:after="160" w:before="360"/>
      </w:pPr>
      <w:r>
        <w:t xml:space="preserve">8. Data and database design</w:t>
      </w:r>
    </w:p>
    <w:p>
      <w:pPr>
        <w:spacing w:after="120"/>
      </w:pPr>
      <w:r>
        <w:t xml:space="preserve">Tables: sessions, facts (status and verification), question_log, acknowledgements, documents, document_pages, terms, offers, reports, llm_calls. All rows carry session_id; facts are append-only; reports are immutable snapshots; UUID keys; JSON columns for metrics, paths and claims. Postgres migration is a connection-string change plus an Alembic baseline.</w:t>
      </w:r>
    </w:p>
    <w:p>
      <w:pPr>
        <w:pStyle w:val="Heading1"/>
        <w:spacing w:after="160" w:before="360"/>
      </w:pPr>
      <w:r>
        <w:t xml:space="preserve">9. Security and privacy</w:t>
      </w:r>
    </w:p>
    <w:p>
      <w:pPr>
        <w:pStyle w:val="ListParagraph"/>
        <w:numPr>
          <w:ilvl w:val="0"/>
          <w:numId w:val="2"/>
        </w:numPr>
        <w:spacing w:after="60"/>
      </w:pPr>
      <w:r>
        <w:t xml:space="preserve">LLM_DATA_MODE with a visible banner; synthetic sample documents when billing is not enabled.</w:t>
      </w:r>
    </w:p>
    <w:p>
      <w:pPr>
        <w:pStyle w:val="ListParagraph"/>
        <w:numPr>
          <w:ilvl w:val="0"/>
          <w:numId w:val="2"/>
        </w:numPr>
        <w:spacing w:after="60"/>
      </w:pPr>
      <w:r>
        <w:t xml:space="preserve">Session isolation by hashed bearer token.</w:t>
      </w:r>
    </w:p>
    <w:p>
      <w:pPr>
        <w:pStyle w:val="ListParagraph"/>
        <w:numPr>
          <w:ilvl w:val="0"/>
          <w:numId w:val="2"/>
        </w:numPr>
        <w:spacing w:after="60"/>
      </w:pPr>
      <w:r>
        <w:t xml:space="preserve">Upload validation, PDF re-save, random names, deletion after extraction, 24-hour TTL, user-initiated purge.</w:t>
      </w:r>
    </w:p>
    <w:p>
      <w:pPr>
        <w:pStyle w:val="ListParagraph"/>
        <w:numPr>
          <w:ilvl w:val="0"/>
          <w:numId w:val="2"/>
        </w:numPr>
        <w:spacing w:after="60"/>
      </w:pPr>
      <w:r>
        <w:t xml:space="preserve">Data minimization: no identity fields; redaction before LLM calls; inline requests only.</w:t>
      </w:r>
    </w:p>
    <w:p>
      <w:pPr>
        <w:pStyle w:val="ListParagraph"/>
        <w:numPr>
          <w:ilvl w:val="0"/>
          <w:numId w:val="2"/>
        </w:numPr>
        <w:spacing w:after="60"/>
      </w:pPr>
      <w:r>
        <w:t xml:space="preserve">Prompt-injection controls; secrets in environment only; secret scan before the repository is public.</w:t>
      </w:r>
    </w:p>
    <w:p>
      <w:pPr>
        <w:pStyle w:val="Heading1"/>
        <w:spacing w:after="160" w:before="360"/>
      </w:pPr>
      <w:r>
        <w:t xml:space="preserve">10. Reliability and fallback design</w:t>
      </w:r>
    </w:p>
    <w:p>
      <w:pPr>
        <w:pStyle w:val="ListParagraph"/>
        <w:numPr>
          <w:ilvl w:val="0"/>
          <w:numId w:val="2"/>
        </w:numPr>
        <w:spacing w:after="60"/>
      </w:pPr>
      <w:r>
        <w:t xml:space="preserve">Each LLM call has a deterministic fallback, exercised with LLM_DATA_MODE=off (A-13).</w:t>
      </w:r>
    </w:p>
    <w:p>
      <w:pPr>
        <w:pStyle w:val="ListParagraph"/>
        <w:numPr>
          <w:ilvl w:val="0"/>
          <w:numId w:val="2"/>
        </w:numPr>
        <w:spacing w:after="60"/>
      </w:pPr>
      <w:r>
        <w:t xml:space="preserve">Unverified or conflicting values never reach calculations; reader disagreements are shown, never auto-resolved.</w:t>
      </w:r>
    </w:p>
    <w:p>
      <w:pPr>
        <w:pStyle w:val="ListParagraph"/>
        <w:numPr>
          <w:ilvl w:val="0"/>
          <w:numId w:val="2"/>
        </w:numPr>
        <w:spacing w:after="60"/>
      </w:pPr>
      <w:r>
        <w:t xml:space="preserve">Deficits are analyzed, not rejected; unknowns are never zero; payment mismatches are surfaced.</w:t>
      </w:r>
    </w:p>
    <w:p>
      <w:pPr>
        <w:pStyle w:val="ListParagraph"/>
        <w:numPr>
          <w:ilvl w:val="0"/>
          <w:numId w:val="2"/>
        </w:numPr>
        <w:spacing w:after="60"/>
      </w:pPr>
      <w:r>
        <w:t xml:space="preserve">Unsupported products are blocked with explanation; partial computation reports missing inputs; analysis is idempotent.</w:t>
      </w:r>
    </w:p>
    <w:p>
      <w:pPr>
        <w:pStyle w:val="Heading1"/>
        <w:spacing w:after="160" w:before="360"/>
      </w:pPr>
      <w:r>
        <w:t xml:space="preserve">11. Testing strategy</w:t>
      </w:r>
    </w:p>
    <w:p>
      <w:pPr>
        <w:spacing w:after="120"/>
      </w:pPr>
      <w:r>
        <w:t xml:space="preserve">Acceptance tests A-01 to A-42 (A-40 only before enabling narration) in supervisor/mvp_acceptance_plan.md v1.1. Key additions: Reg Z principal example (A-24); trade-in, savings-after-purchase, replacement and deficit fixtures (A-28 to A-32); priority invariant and readiness parity (A-20, A-23); month-by-month scenario equality and label audit (A-09r, A-10r); no hypothetical offers (A-37); claim fidelity and label honesty (A-12r, A-42). No test has been executed yet; results must be reported as measured.</w:t>
      </w:r>
    </w:p>
    <w:p>
      <w:pPr>
        <w:pStyle w:val="Heading1"/>
        <w:spacing w:after="160" w:before="360"/>
      </w:pPr>
      <w:r>
        <w:t xml:space="preserve">12. Cost and infrastructure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3760"/>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Item</w:t>
            </w:r>
          </w:p>
        </w:tc>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MVP</w:t>
            </w:r>
          </w:p>
        </w:tc>
        <w:tc>
          <w:tcPr>
            <w:tcW w:type="dxa" w:w="37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Production (assumption)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Model usage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Paid quota if billing is enabled (small volume); otherwise synthetic-only demo</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Cents per document; verify on the pricing page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Hosting</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Laptop; optional free tiers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One small API instance + managed Postgres + static frontend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Storage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SQLite file</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Postgres with retention policy</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Observability</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JSON logs, llm_calls table</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Hosted logging and alerting</w:t>
            </w:r>
          </w:p>
        </w:tc>
      </w:tr>
    </w:tbl>
    <w:p>
      <w:pPr>
        <w:spacing w:after="120"/>
      </w:pPr>
    </w:p>
    <w:p>
      <w:pPr>
        <w:pStyle w:val="Heading1"/>
        <w:spacing w:after="160" w:before="360"/>
      </w:pPr>
      <w:r>
        <w:t xml:space="preserve">13. MVP acceptance criteria</w:t>
      </w:r>
    </w:p>
    <w:p>
      <w:pPr>
        <w:spacing w:after="120"/>
      </w:pPr>
      <w:r>
        <w:t xml:space="preserve">All CP1–CP3 acceptance tests pass on the demo machine at code freeze; the data mode is set and shown; secret scan clean; Devpost project created by Saturday 23:59 and finalized by 11:00 Sunday (hard deadline 12:00). Untested properties (predictive validity, real-document accuracy, concurrency) are stated as not claimed.</w:t>
      </w:r>
    </w:p>
    <w:p>
      <w:pPr>
        <w:pStyle w:val="Heading1"/>
        <w:spacing w:after="160" w:before="360"/>
      </w:pPr>
      <w:r>
        <w:t xml:space="preserve">14. Team implementation strategy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5960"/>
      </w:tblGrid>
      <w:tr>
        <w:trPr>
          <w:tblHeader/>
        </w:trPr>
        <w:tc>
          <w:tcPr>
            <w:tcW w:type="dxa" w:w="1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Developer</w:t>
            </w:r>
          </w:p>
        </w:tc>
        <w:tc>
          <w:tcPr>
            <w:tcW w:type="dxa" w:w="2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Role</w:t>
            </w:r>
          </w:p>
        </w:tc>
        <w:tc>
          <w:tcPr>
            <w:tcW w:type="dxa" w:w="59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Owns</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Dev 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Engine</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engine/ (F00–F14, flags, REQUIRED_INPUTS, month_net), scenarios/ (illustrative, paired, floor, break-even), counterfactual/ (4 levers, Pareto, rate sensitivity)</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Dev 2</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Intelligence</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intake/ (ontology v1.1, ledger, readiness, priority, H01/H02, debt items), documents/ (text PDF, extraction, TILA reader, checks, chooser), llm/ (adapter, data mode)</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Dev 3</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Experience</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Start with data-mode banner, two-track intake and readiness panel, verification table, key points, with-loan, paired stress cards, alternatives, missing info, print report</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Dev 4</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Integration</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api/ (contracts v1.1, OpenAPI→TS), storage/, explain/ (claims, templates, key points), synthetic fixtures, Compose, acceptance runs, video, Devpost</w:t>
            </w:r>
          </w:p>
        </w:tc>
      </w:tr>
    </w:tbl>
    <w:p>
      <w:pPr>
        <w:spacing w:after="120"/>
      </w:pPr>
    </w:p>
    <w:p>
      <w:pPr>
        <w:spacing w:after="120"/>
      </w:pPr>
      <w:r>
        <w:t xml:space="preserve">Vertical slice first: typed household facts + manual offer with checks → corrected engine → key points and With-this-loan with chips → print report. No AI required.</w:t>
      </w:r>
    </w:p>
    <w:p>
      <w:pPr>
        <w:pStyle w:val="Heading1"/>
        <w:spacing w:after="160" w:before="360"/>
      </w:pPr>
      <w:r>
        <w:t xml:space="preserve">15. Integration milestones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800"/>
        <w:gridCol w:w="5960"/>
      </w:tblGrid>
      <w:tr>
        <w:trPr>
          <w:tblHeader/>
        </w:trPr>
        <w:tc>
          <w:tcPr>
            <w:tcW w:type="dxa" w:w="1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Checkpoint</w:t>
            </w:r>
          </w:p>
        </w:tc>
        <w:tc>
          <w:tcPr>
            <w:tcW w:type="dxa" w:w="18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Time (EDT)</w:t>
            </w:r>
          </w:p>
        </w:tc>
        <w:tc>
          <w:tcPr>
            <w:tcW w:type="dxa" w:w="59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Exit criteria</w:t>
            </w:r>
          </w:p>
        </w:tc>
      </w:tr>
      <w:t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CP0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Sat 20:30</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Compose runs; health shows data mode; TS types generated; model string and billing decision made</w:t>
            </w:r>
          </w:p>
        </w:tc>
      </w:tr>
      <w:t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CP1</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Sat 23:00</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Vertical slice; engine reference and transaction tests green; contracts frozen; Devpost project created by 23:30</w:t>
            </w:r>
          </w:p>
        </w:tc>
      </w:tr>
      <w:t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CP2</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Sun 03:00</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Two-track intake; text-PDF extraction with verification; paired scenarios; offline mode works</w:t>
            </w:r>
          </w:p>
        </w:tc>
      </w:tr>
      <w:t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CP3 (code freeze)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Sun 08:45</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Alternatives; all sections templated; CP3 acceptance tests green</w:t>
            </w:r>
          </w:p>
        </w:tc>
      </w:tr>
      <w:t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Submit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Sun 11:00</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Three demo runs passed; video uploaded; repository public; one-hour buffer to the noon deadline</w:t>
            </w:r>
          </w:p>
        </w:tc>
      </w:tr>
    </w:tbl>
    <w:p>
      <w:pPr>
        <w:spacing w:after="120"/>
      </w:pPr>
    </w:p>
    <w:p>
      <w:pPr>
        <w:spacing w:after="120"/>
      </w:pPr>
      <w:r>
        <w:t xml:space="preserve">Assumes implementation starts at 19:45 EDT (about 16 hours; about 48 effective developer-hours after rest and overhead). If coding began on v1.0, apply the P0 corrections first. Cut scope from the top of the cut list, never from the buffer.</w:t>
      </w:r>
    </w:p>
    <w:p>
      <w:pPr>
        <w:pStyle w:val="Heading1"/>
        <w:spacing w:after="160" w:before="360"/>
      </w:pPr>
      <w:r>
        <w:t xml:space="preserve">16. Risks and contingencies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4360"/>
      </w:tblGrid>
      <w:tr>
        <w:trPr>
          <w:tblHeader/>
        </w:trPr>
        <w:tc>
          <w:tcPr>
            <w:tcW w:type="dxa" w:w="3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Risk</w:t>
            </w:r>
          </w:p>
        </w:tc>
        <w:tc>
          <w:tcPr>
            <w:tcW w:type="dxa" w:w="1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Severity</w:t>
            </w:r>
          </w:p>
        </w:tc>
        <w:tc>
          <w:tcPr>
            <w:tcW w:type="dxa" w:w="43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b/>
                <w:bCs/>
                <w:sz w:val="19"/>
                <w:szCs w:val="19"/>
              </w:rPr>
              <w:t xml:space="preserve">Mitigation</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Real documents sent on unpaid Gemini quota</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High</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LLM_DATA_MODE; synthetic-only default; banner</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Extraction misreads a value or the wrong offer column</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High</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Label anchors, independent reader, chooser, itemization, per-field user action</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Wrong formula (realized in v1.0)</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High → mitigated</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Corrected spec; Reg Z and transaction fixtures; golden files</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False citation (realized in v1.0)</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High → mitigated</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Illustrative labels; context sentences verified against sources</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Reduced time budget</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High</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Re-planned schedule; pre-ordered cut list</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Scenarios read as predictions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Medium</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Labels, paired cards, wording rules</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Type drift between services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Medium</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OpenAPI-generated types; contracts frozen at CP1</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API key leak in the public repository</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Medium</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val="false"/>
                <w:bCs w:val="false"/>
                <w:sz w:val="19"/>
                <w:szCs w:val="19"/>
              </w:rPr>
              <w:t xml:space="preserve">Git-ignored env; secret scan; rotate after the event</w:t>
            </w:r>
          </w:p>
        </w:tc>
      </w:tr>
    </w:tbl>
    <w:p>
      <w:pPr>
        <w:spacing w:after="120"/>
      </w:pPr>
    </w:p>
    <w:p>
      <w:pPr>
        <w:pStyle w:val="Heading1"/>
        <w:spacing w:after="160" w:before="360"/>
      </w:pPr>
      <w:r>
        <w:t xml:space="preserve">17. Final architectural decisions</w:t>
      </w:r>
    </w:p>
    <w:p>
      <w:pPr>
        <w:pStyle w:val="ListParagraph"/>
        <w:numPr>
          <w:ilvl w:val="0"/>
          <w:numId w:val="2"/>
        </w:numPr>
        <w:spacing w:after="60"/>
      </w:pPr>
      <w:r>
        <w:t xml:space="preserve">ADR-001/002 retained; ADR-016: readiness and blocking-first priority; two-track intake.</w:t>
      </w:r>
    </w:p>
    <w:p>
      <w:pPr>
        <w:pStyle w:val="ListParagraph"/>
        <w:numPr>
          <w:ilvl w:val="0"/>
          <w:numId w:val="2"/>
        </w:numPr>
        <w:spacing w:after="60"/>
      </w:pPr>
      <w:r>
        <w:t xml:space="preserve">ADR-017: status × verification; declined state.</w:t>
      </w:r>
    </w:p>
    <w:p>
      <w:pPr>
        <w:pStyle w:val="ListParagraph"/>
        <w:numPr>
          <w:ilvl w:val="0"/>
          <w:numId w:val="2"/>
        </w:numPr>
        <w:spacing w:after="60"/>
      </w:pPr>
      <w:r>
        <w:t xml:space="preserve">ADR-018: principal-based loan math, equity-based total cost, transaction effects, no assumed depreciation.</w:t>
      </w:r>
    </w:p>
    <w:p>
      <w:pPr>
        <w:pStyle w:val="ListParagraph"/>
        <w:numPr>
          <w:ilvl w:val="0"/>
          <w:numId w:val="2"/>
        </w:numPr>
        <w:spacing w:after="60"/>
      </w:pPr>
      <w:r>
        <w:t xml:space="preserve">ADR-019: illustrative paired scenarios, savings floor, CFPB as context only.</w:t>
      </w:r>
    </w:p>
    <w:p>
      <w:pPr>
        <w:pStyle w:val="ListParagraph"/>
        <w:numPr>
          <w:ilvl w:val="0"/>
          <w:numId w:val="2"/>
        </w:numPr>
        <w:spacing w:after="60"/>
      </w:pPr>
      <w:r>
        <w:t xml:space="preserve">ADR-020: actionable levers only; rate sensitivity instead of a hypothetical offer.</w:t>
      </w:r>
    </w:p>
    <w:p>
      <w:pPr>
        <w:pStyle w:val="ListParagraph"/>
        <w:numPr>
          <w:ilvl w:val="0"/>
          <w:numId w:val="2"/>
        </w:numPr>
        <w:spacing w:after="60"/>
      </w:pPr>
      <w:r>
        <w:t xml:space="preserve">ADR-021: label anchors, independent TILA reader, itemization, offer chooser.</w:t>
      </w:r>
    </w:p>
    <w:p>
      <w:pPr>
        <w:pStyle w:val="ListParagraph"/>
        <w:numPr>
          <w:ilvl w:val="0"/>
          <w:numId w:val="2"/>
        </w:numPr>
        <w:spacing w:after="60"/>
      </w:pPr>
      <w:r>
        <w:t xml:space="preserve">ADR-022: LLM_DATA_MODE and inline requests.</w:t>
      </w:r>
    </w:p>
    <w:p>
      <w:pPr>
        <w:pStyle w:val="ListParagraph"/>
        <w:numPr>
          <w:ilvl w:val="0"/>
          <w:numId w:val="2"/>
        </w:numPr>
        <w:spacing w:after="60"/>
      </w:pPr>
      <w:r>
        <w:t xml:space="preserve">ADR-023: claim-based explanations; narration deferred.</w:t>
      </w:r>
    </w:p>
    <w:p>
      <w:pPr>
        <w:pStyle w:val="ListParagraph"/>
        <w:numPr>
          <w:ilvl w:val="0"/>
          <w:numId w:val="2"/>
        </w:numPr>
        <w:spacing w:after="60"/>
      </w:pPr>
      <w:r>
        <w:t xml:space="preserve">ADR-005/009/010/011/014/015 retained (FastAPI, Next.js stack, SQLite, local demo, no agent framework or vector store, non-advice policy).</w:t>
      </w:r>
    </w:p>
    <w:p>
      <w:pPr>
        <w:spacing w:after="120"/>
      </w:pPr>
      <w:r>
        <w:t xml:space="preserve">Readiness verdict: READY WITH NONBLOCKING LIMITATIONS. Every critical and high finding from the audit and red-team pass has a specified correction and an acceptance test. Remaining limitations: real-document extraction accuracy is unmeasured; the model string and billing decision are due at CP0; irregular-period APR is out of scope; the time budget is tight.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t xml:space="preserve">DecisionTwin architecture research · page </w:t>
    </w:r>
    <w:r>
      <w:rPr>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b/>
      <w:bCs/>
      <w:color w:val="2F5496"/>
      <w:sz w:val="30"/>
      <w:szCs w:val="30"/>
    </w:rPr>
  </w:style>
  <w:style w:type="paragraph" w:styleId="Heading2">
    <w:name w:val="Heading 2"/>
    <w:basedOn w:val="Normal"/>
    <w:next w:val="Normal"/>
    <w:qFormat/>
    <w:pPr>
      <w:outlineLvl w:val="1"/>
    </w:pPr>
    <w:rPr>
      <w:b/>
      <w:bCs/>
      <w:color w:val="2F549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DecisionTwin — Master Technical Specification</dc:title>
  <dc:creator>DecisionTwin Supervisor Agent</dc:creator>
  <cp:lastModifiedBy>Un-named</cp:lastModifiedBy>
  <cp:revision>1</cp:revision>
  <dcterms:created xsi:type="dcterms:W3CDTF">2026-10-24T23:19:44.145Z</dcterms:created>
  <dcterms:modified xsi:type="dcterms:W3CDTF">2026-10-24T23:19:44.145Z</dcterms:modified>
</cp:coreProperties>
</file>

<file path=docProps/custom.xml><?xml version="1.0" encoding="utf-8"?>
<Properties xmlns="http://schemas.openxmlformats.org/officeDocument/2006/custom-properties" xmlns:vt="http://schemas.openxmlformats.org/officeDocument/2006/docPropsVTypes"/>
</file>