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Stage 02 — Technical Stack Specification</w:t>
      </w:r>
    </w:p>
    <w:p>
      <w:pPr>
        <w:spacing w:after="80"/>
      </w:pPr>
      <w:r>
        <w:rPr>
          <w:color w:val="555555"/>
          <w:sz w:val="22"/>
          <w:szCs w:val="22"/>
        </w:rPr>
        <w:t xml:space="preserve">AI Financial Document Intelligence</w:t>
      </w:r>
    </w:p>
    <w:p>
      <w:pPr>
        <w:pBdr>
          <w:bottom w:val="single" w:color="2F5496" w:sz="6" w:space="4"/>
        </w:pBdr>
        <w:spacing w:after="240"/>
      </w:pPr>
      <w:r>
        <w:rPr>
          <w:color w:val="777777"/>
          <w:sz w:val="18"/>
          <w:szCs w:val="18"/>
        </w:rPr>
        <w:t xml:space="preserve">DecisionTwin — HackPSU Fall 2026 (FNB Challenge · Nittany AI Challenge) · Architecture research deliverable · 2026-10-24</w:t>
      </w:r>
    </w:p>
    <w:p>
      <w:pPr>
        <w:pStyle w:val="Heading1"/>
        <w:spacing w:after="160" w:before="360"/>
      </w:pPr>
      <w:r>
        <w:t xml:space="preserve">1. Stage overview</w:t>
      </w:r>
    </w:p>
    <w:p>
      <w:pPr>
        <w:spacing w:after="120"/>
      </w:pPr>
      <w:r>
        <w:t xml:space="preserve">Stage 2 converts an uploaded loan document into a LoanOffer whose terms carry verbatim evidence, pass programmatic checks, and are confirmed by the user before any calculation. The pipeline is PyMuPDF for text and page images, one schema-constrained Gemini extraction call with page and quote per field, a deterministic verifier (quote match, arithmetic, ranges, product type), and a human verification table. Manual entry is the fallback with the same output shape.</w:t>
      </w:r>
    </w:p>
    <w:p>
      <w:pPr>
        <w:pStyle w:val="Heading1"/>
        <w:spacing w:after="160" w:before="360"/>
      </w:pPr>
      <w:r>
        <w:t xml:space="preserve">2. Selected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 selected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parsing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PyMuPDF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 with coordinates, page rendering, re-save to strip active content; no external binaries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Extraction model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API (document understanding + structured output)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PDF vision for scans; JSON Schema outputs; sponsor track; both verified 2026-10-24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Evidence matching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RapidFuzz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Tolerant quote-in-text matching for OCR noise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 3 engine functions (payment, APR solver)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duplicated arithmetic; Reg Z 1/8-point APR tolerance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validation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Magic-byte sniffing (python-magic or header checks), size and page caps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Filename-independent type enforcement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Frameworks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selection criteria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pymupdf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Text, words, pixmaps, sanitization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 1.x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google-genai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Extraction call with response schema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Latest stable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rapidfuzz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Fuzzy quote matching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 3.x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pydantic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Extraction schema and validation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python-multipart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handling in FastAPI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Pin exact versions in lockfiles at checkpoint CP0; prefer releases at least two weeks old; record chosen versions in the repository README. Versions listed below are selection criteria, not verified pins.</w:t>
      </w:r>
    </w:p>
    <w:p>
      <w:pPr>
        <w:pStyle w:val="Heading1"/>
        <w:spacing w:after="160" w:before="360"/>
      </w:pPr>
      <w:r>
        <w:t xml:space="preserve">4. Infrastructure requirements</w:t>
      </w:r>
    </w:p>
    <w:p>
      <w:pPr>
        <w:spacing w:after="120"/>
      </w:pPr>
      <w:r>
        <w:t xml:space="preserve">A session-scoped temporary directory for uploads (deleted after extraction), outbound HTTPS to the model provider, and the shared SQLite database for page text, terms and offers. Extraction runs as a background task with polling; no queue is required for the MVP.</w:t>
      </w:r>
    </w:p>
    <w:p>
      <w:pPr>
        <w:pStyle w:val="Heading1"/>
        <w:spacing w:after="160" w:before="360"/>
      </w:pPr>
      <w:r>
        <w:t xml:space="preserve">5. AI models and APIs</w:t>
      </w:r>
    </w:p>
    <w:p>
      <w:pPr>
        <w:spacing w:after="120"/>
      </w:pPr>
      <w:r>
        <w:t xml:space="preserve">One call type: document extraction. Inputs: redacted page text (text mode) or page images (image mode, consent required). Output: LoanDocumentExtraction with value, unit, page, quote and qualitative confidence per field, add-ons list, product-type indicators. Temperature 0; timeout 30 s; one retry; untrusted-data framing; no tools. Gemini limits verified 2026-10-24: up to 1,000 PDF pages, 258 tokens per page, inline requests up to 20 MB, File API for larger files.</w:t>
      </w:r>
    </w:p>
    <w:p>
      <w:pPr>
        <w:pStyle w:val="Heading1"/>
        <w:spacing w:after="160" w:before="360"/>
      </w:pPr>
      <w:r>
        <w:t xml:space="preserve">6. Algorithm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decision: text mode when text density is at least 50 characters per page; otherwise render pages at 150 dpi and use image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 verification: exact match, then whitespace and symbol normalization, then fuzzy partial ratio of 90 or higher.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Arithmetic checks: amount financed + finance charge ≈ total of payments; payment × term ≈ total of payments; total sale price ≈ total of payments + down payment; recomputed APR within 1/8 point of the stated APR; contract rate ≤ APR.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 sanity on APR, term, price and down payment; instruction-like text in free-text fields blanked and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Product-type detection blocks variable-rate, balloon, lease and precomputed contracts with an explanation.</w:t>
      </w:r>
    </w:p>
    <w:p>
      <w:pPr>
        <w:pStyle w:val="Heading1"/>
        <w:spacing w:after="160" w:before="360"/>
      </w:pPr>
      <w:r>
        <w:t xml:space="preserve">7. Data architecture</w:t>
      </w:r>
    </w:p>
    <w:p>
      <w:pPr>
        <w:spacing w:after="120"/>
      </w:pPr>
      <w:r>
        <w:t xml:space="preserve">Tables: documents (doc_id, session_id, status, mode, page_count, created_at, deleted_at), document_pages (doc_id, page, text), terms (doc_id, term_key, value, status, evidence, checks, user_action), offers (offer_id, session_id, origin, terms JSON, ready_for_calculation, unsupported_features). Raw files are never stored in the database.</w:t>
      </w:r>
    </w:p>
    <w:p>
      <w:pPr>
        <w:pStyle w:val="Heading1"/>
        <w:spacing w:after="160" w:before="360"/>
      </w:pPr>
      <w:r>
        <w:t xml:space="preserve">8. Interface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3: payment and APR functions for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1: verified loan facts; Stage 1 pauses loan questions while verification is pending.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6: verification table with evidence, check status and conflict handling; unsupported-product block.</w:t>
      </w:r>
    </w:p>
    <w:p>
      <w:pPr>
        <w:pStyle w:val="Heading1"/>
        <w:spacing w:after="160" w:before="360"/>
      </w:pPr>
      <w:r>
        <w:t xml:space="preserve">9. Deployment requirements</w:t>
      </w:r>
    </w:p>
    <w:p>
      <w:pPr>
        <w:spacing w:after="120"/>
      </w:pPr>
      <w:r>
        <w:t xml:space="preserve">GEMINI_API_KEY in the environment; temp directory writable; 10 MB request body limit configured in the API server and any reverse proxy.</w:t>
      </w:r>
    </w:p>
    <w:p>
      <w:pPr>
        <w:pStyle w:val="Heading1"/>
        <w:spacing w:after="160" w:before="360"/>
      </w:pPr>
      <w:r>
        <w:t xml:space="preserve">10.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Magic-byte validation; encrypted PDFs rejected; re-save through PyMuPDF to strip JavaScript and attachments.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Regex redaction of SSN, account-like numbers, email and phone before text-mode calls; image mode requires explicit consent.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Prompt-injection controls: untrusted framing, schema-only output, verbatim-evidence requirement, free-text screening, no tool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deleted after extraction; all session data purged on delete or 24-hour TTL; provider data-use terms checked on event day.</w:t>
      </w:r>
    </w:p>
    <w:p>
      <w:pPr>
        <w:pStyle w:val="Heading1"/>
        <w:spacing w:after="160" w:before="360"/>
      </w:pPr>
      <w:r>
        <w:t xml:space="preserve">11. Technology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Weighted score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Reason not selected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PyMuPDF + regex rules only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3.70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Brittle across layouts; fails on scans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Gemini-only extraction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3.75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independent verification of numbers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Document AI / Textract + rules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3.25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Account, IAM and billing setup during the event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Fine-tuned layout models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labeled data or training time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 with verification gate (selected)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4.50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12.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Assumption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Extraction per document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4k input tokens text mode; +258 tokens per page in image mode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Six-page contract; Flash-tier model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Event-day total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within free tier or credits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Tens of documents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 per document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of cents (to be verified on the pricing page)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Flash-tier pricing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Cost figures are estimates for planning. Model prices must be read from the provider pricing page on the day; hackathon volume is expected to fall within free-tier or sponsor credits.</w:t>
      </w:r>
    </w:p>
    <w:p>
      <w:pPr>
        <w:pStyle w:val="Heading1"/>
        <w:spacing w:after="160" w:before="360"/>
      </w:pPr>
      <w:r>
        <w:t xml:space="preserve">13. Implementation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Checkpoint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offer entry endpoint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Vertical slice uses stated terms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validation + text extraction + extraction call + verifier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 PDF flows end to end with verification table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 mode with consent; targeted re-ask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CP3 (if time)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Scanned documents supported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Ground-truth set evaluation, injection test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Acceptance tests A-05, A-06, A-14 reported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14.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Six synthetic contracts with labeled ground truth (text, scanned, photo).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Blank-field document must yield null, never a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seeded arithmetic inconsistencies flagged as conflicting.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Injection document changes no value and is logged.</w:t>
      </w:r>
    </w:p>
    <w:p>
      <w:pPr>
        <w:pStyle w:val="Heading1"/>
        <w:spacing w:after="160" w:before="360"/>
      </w:pPr>
      <w:r>
        <w:t xml:space="preserve">15. Final recommendation</w:t>
      </w:r>
    </w:p>
    <w:p>
      <w:pPr>
        <w:spacing w:after="120"/>
      </w:pPr>
      <w:r>
        <w:t xml:space="preserve">Ship manual entry first, then the hybrid pipeline for text PDFs, then scans. The verification gate — verbatim evidence, arithmetic checks and explicit user confirmation — is the feature to demonstrate; it is what makes the AI reading of a contract trustworthy rather than merely convenient.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DecisionTwin architecture research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02 — Technical Stack Specification</dc:title>
  <dc:creator>DecisionTwin Supervisor Agent</dc:creator>
  <cp:lastModifiedBy>Un-named</cp:lastModifiedBy>
  <cp:revision>1</cp:revision>
  <dcterms:created xsi:type="dcterms:W3CDTF">2026-10-24T22:08:08.665Z</dcterms:created>
  <dcterms:modified xsi:type="dcterms:W3CDTF">2026-10-24T22:08:08.665Z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