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sz w:val="40"/>
          <w:szCs w:val="40"/>
        </w:rPr>
        <w:t xml:space="preserve">Stage 03 — Technical Stack Specification</w:t>
      </w:r>
    </w:p>
    <w:p>
      <w:pPr>
        <w:spacing w:after="80"/>
      </w:pPr>
      <w:r>
        <w:rPr>
          <w:color w:val="555555"/>
          <w:sz w:val="22"/>
          <w:szCs w:val="22"/>
        </w:rPr>
        <w:t xml:space="preserve">Financial Modeling &amp; Computational Engine</w:t>
      </w:r>
    </w:p>
    <w:p>
      <w:pPr>
        <w:pBdr>
          <w:bottom w:val="single" w:color="2F5496" w:sz="6" w:space="4"/>
        </w:pBdr>
        <w:spacing w:after="240"/>
      </w:pPr>
      <w:r>
        <w:rPr>
          <w:color w:val="777777"/>
          <w:sz w:val="18"/>
          <w:szCs w:val="18"/>
        </w:rPr>
        <w:t xml:space="preserve">DecisionTwin — HackPSU Fall 2026 (FNB Challenge · Nittany AI Challenge) · Architecture research deliverable · 2026-10-24</w:t>
      </w:r>
    </w:p>
    <w:p>
      <w:pPr>
        <w:pStyle w:val="Heading1"/>
        <w:spacing w:after="160" w:before="360"/>
      </w:pPr>
      <w:r>
        <w:t xml:space="preserve">1. Stage overview</w:t>
      </w:r>
    </w:p>
    <w:p>
      <w:pPr>
        <w:spacing w:after="120"/>
      </w:pPr>
      <w:r>
        <w:t xml:space="preserve">Stage 3 is the single source of financial arithmetic: payment, amortization, totals, APR recomputation, loan-to-value, payment-to-income, debt-to-income, monthly residual before and after the loan, reserve months, and a negative-equity timeline. It is pure Python using the standard-library decimal module with explicit rounding, has no network or LLM dependency, and propagates missing and estimated statuses through every metric. Its formulas reproduce the CFPB published examples exactly (recomputed 2026-10-24).</w:t>
      </w:r>
    </w:p>
    <w:p>
      <w:pPr>
        <w:pStyle w:val="Heading1"/>
        <w:spacing w:after="160" w:before="360"/>
      </w:pPr>
      <w:r>
        <w:t xml:space="preserve">2. Selected technology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600"/>
        <w:gridCol w:w="4560"/>
      </w:tblGrid>
      <w:tr>
        <w:trPr>
          <w:tblHeader/>
        </w:trPr>
        <w:tc>
          <w:tcPr>
            <w:tcW w:type="dxa" w:w="22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b/>
                <w:bCs/>
                <w:sz w:val="19"/>
                <w:szCs w:val="19"/>
              </w:rPr>
              <w:t xml:space="preserve">Component</w:t>
            </w:r>
          </w:p>
        </w:tc>
        <w:tc>
          <w:tcPr>
            <w:tcW w:type="dxa" w:w="2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b/>
                <w:bCs/>
                <w:sz w:val="19"/>
                <w:szCs w:val="19"/>
              </w:rPr>
              <w:t xml:space="preserve">Selection</w:t>
            </w:r>
          </w:p>
        </w:tc>
        <w:tc>
          <w:tcPr>
            <w:tcW w:type="dxa" w:w="456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b/>
                <w:bCs/>
                <w:sz w:val="19"/>
                <w:szCs w:val="19"/>
              </w:rPr>
              <w:t xml:space="preserve">Why selected</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Numerics</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Python decimal (28-digit context, ROUND_HALF_UP at cents)</w:t>
            </w:r>
          </w:p>
        </w:tc>
        <w:tc>
          <w:tcPr>
            <w:tcW w:type="dxa" w:w="4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Exact cents; reproducible; matches CFPB vectors; no float drift</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Engine structure</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Pure functions and frozen dataclasses in engine/</w:t>
            </w:r>
          </w:p>
        </w:tc>
        <w:tc>
          <w:tcPr>
            <w:tcW w:type="dxa" w:w="4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Importable by Stages 1, 2, 4, 5 without I/O or globals</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Configuration</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assumptions.yaml validated by Pydantic</w:t>
            </w:r>
          </w:p>
        </w:tc>
        <w:tc>
          <w:tcPr>
            <w:tcW w:type="dxa" w:w="4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Thresholds and defaults with citations; served to the UI</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Tests</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pytest with golden files; hypothesis optional</w:t>
            </w:r>
          </w:p>
        </w:tc>
        <w:tc>
          <w:tcPr>
            <w:tcW w:type="dxa" w:w="4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Byte-equal reproducibility; property tests</w:t>
            </w:r>
          </w:p>
        </w:tc>
      </w:tr>
    </w:tbl>
    <w:p>
      <w:pPr>
        <w:spacing w:after="120"/>
      </w:pPr>
    </w:p>
    <w:p>
      <w:pPr>
        <w:pStyle w:val="Heading1"/>
        <w:spacing w:after="160" w:before="360"/>
      </w:pPr>
      <w:r>
        <w:t xml:space="preserve">3. Frameworks and libraries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3960"/>
      </w:tblGrid>
      <w:tr>
        <w:trPr>
          <w:tblHeader/>
        </w:trPr>
        <w:tc>
          <w:tcPr>
            <w:tcW w:type="dxa" w:w="22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b/>
                <w:bCs/>
                <w:sz w:val="19"/>
                <w:szCs w:val="19"/>
              </w:rPr>
              <w:t xml:space="preserve">Library</w:t>
            </w:r>
          </w:p>
        </w:tc>
        <w:tc>
          <w:tcPr>
            <w:tcW w:type="dxa" w:w="32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b/>
                <w:bCs/>
                <w:sz w:val="19"/>
                <w:szCs w:val="19"/>
              </w:rPr>
              <w:t xml:space="preserve">Role</w:t>
            </w:r>
          </w:p>
        </w:tc>
        <w:tc>
          <w:tcPr>
            <w:tcW w:type="dxa" w:w="396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b/>
                <w:bCs/>
                <w:sz w:val="19"/>
                <w:szCs w:val="19"/>
              </w:rPr>
              <w:t xml:space="preserve">Version selection criteria</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decimal (stdlib)</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All arithmetic</w:t>
            </w:r>
          </w:p>
        </w:tc>
        <w:tc>
          <w:tcPr>
            <w:tcW w:type="dxa" w:w="3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Python 3.12</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pydantic</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Config validation and result schemas</w:t>
            </w:r>
          </w:p>
        </w:tc>
        <w:tc>
          <w:tcPr>
            <w:tcW w:type="dxa" w:w="3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v2.x</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pytest</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Reference and property tests</w:t>
            </w:r>
          </w:p>
        </w:tc>
        <w:tc>
          <w:tcPr>
            <w:tcW w:type="dxa" w:w="3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Current stable 8.x</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hypothesis (optional)</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Property-based tests</w:t>
            </w:r>
          </w:p>
        </w:tc>
        <w:tc>
          <w:tcPr>
            <w:tcW w:type="dxa" w:w="3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Current stable</w:t>
            </w:r>
          </w:p>
        </w:tc>
      </w:tr>
    </w:tbl>
    <w:p>
      <w:pPr>
        <w:spacing w:after="120"/>
      </w:pPr>
    </w:p>
    <w:p>
      <w:pPr>
        <w:spacing w:after="120"/>
      </w:pPr>
      <w:r>
        <w:rPr>
          <w:i/>
          <w:iCs/>
          <w:color w:val="555555"/>
          <w:sz w:val="20"/>
          <w:szCs w:val="20"/>
        </w:rPr>
        <w:t xml:space="preserve">NumPy, pandas and numpy-financial are deliberately excluded from the core engine; NumPy is permitted only if the Stage 4 Monte Carlo enhancement is built. Pin exact versions in lockfiles at checkpoint CP0; prefer releases at least two weeks old; record chosen versions in the repository README. Versions listed below are selection criteria, not verified pins.</w:t>
      </w:r>
    </w:p>
    <w:p>
      <w:pPr>
        <w:pStyle w:val="Heading1"/>
        <w:spacing w:after="160" w:before="360"/>
      </w:pPr>
      <w:r>
        <w:t xml:space="preserve">4. Infrastructure requirements</w:t>
      </w:r>
    </w:p>
    <w:p>
      <w:pPr>
        <w:spacing w:after="120"/>
      </w:pPr>
      <w:r>
        <w:t xml:space="preserve">None. A full evaluation including a 72-row schedule is expected to take about 1–2 ms (to be measured in the first test run).</w:t>
      </w:r>
    </w:p>
    <w:p>
      <w:pPr>
        <w:pStyle w:val="Heading1"/>
        <w:spacing w:after="160" w:before="360"/>
      </w:pPr>
      <w:r>
        <w:t xml:space="preserve">5. AI models and APIs</w:t>
      </w:r>
    </w:p>
    <w:p>
      <w:pPr>
        <w:spacing w:after="120"/>
      </w:pPr>
      <w:r>
        <w:t xml:space="preserve">None by design. LLM-generated arithmetic is never authoritative; the engine is the only source of numbers displayed to the user.</w:t>
      </w:r>
    </w:p>
    <w:p>
      <w:pPr>
        <w:pStyle w:val="Heading1"/>
        <w:spacing w:after="160" w:before="360"/>
      </w:pPr>
      <w:r>
        <w:t xml:space="preserve">6. Algorithm recommendations</w:t>
      </w:r>
    </w:p>
    <w:p>
      <w:pPr>
        <w:pStyle w:val="ListParagraph"/>
        <w:numPr>
          <w:ilvl w:val="0"/>
          <w:numId w:val="2"/>
        </w:numPr>
        <w:spacing w:after="60"/>
      </w:pPr>
      <w:r>
        <w:t xml:space="preserve">F01 payment: L·r/(1−(1+r)^−n) with r = annual nominal rate/12, rounded once to cents; zero-rate branch L/n.</w:t>
      </w:r>
    </w:p>
    <w:p>
      <w:pPr>
        <w:pStyle w:val="ListParagraph"/>
        <w:numPr>
          <w:ilvl w:val="0"/>
          <w:numId w:val="2"/>
        </w:numPr>
        <w:spacing w:after="60"/>
      </w:pPr>
      <w:r>
        <w:t xml:space="preserve">F01s schedule: per-month interest rounded to cents; final payment absorbs rounding; totals computed from the schedule.</w:t>
      </w:r>
    </w:p>
    <w:p>
      <w:pPr>
        <w:pStyle w:val="ListParagraph"/>
        <w:numPr>
          <w:ilvl w:val="0"/>
          <w:numId w:val="2"/>
        </w:numPr>
        <w:spacing w:after="60"/>
      </w:pPr>
      <w:r>
        <w:t xml:space="preserve">F02–F04 totals: total of payments, total interest = total of payments − amount financed, total cost of purchase = total of payments + down payment + trade-in (CFPB worksheet rows K–P).</w:t>
      </w:r>
    </w:p>
    <w:p>
      <w:pPr>
        <w:pStyle w:val="ListParagraph"/>
        <w:numPr>
          <w:ilvl w:val="0"/>
          <w:numId w:val="2"/>
        </w:numPr>
        <w:spacing w:after="60"/>
      </w:pPr>
      <w:r>
        <w:t xml:space="preserve">F05 APR recomputation: bisection on the annuity present value with amount financed net of prepaid finance charges; precision far below the 1/8-point Reg Z tolerance.</w:t>
      </w:r>
    </w:p>
    <w:p>
      <w:pPr>
        <w:pStyle w:val="ListParagraph"/>
        <w:numPr>
          <w:ilvl w:val="0"/>
          <w:numId w:val="2"/>
        </w:numPr>
        <w:spacing w:after="60"/>
      </w:pPr>
      <w:r>
        <w:t xml:space="preserve">F06–F11 ratios and cash-flow metrics; F12 negative-equity months from a user resale value or a labeled depreciation assumption.</w:t>
      </w:r>
    </w:p>
    <w:p>
      <w:pPr>
        <w:pStyle w:val="ListParagraph"/>
        <w:numPr>
          <w:ilvl w:val="0"/>
          <w:numId w:val="2"/>
        </w:numPr>
        <w:spacing w:after="60"/>
      </w:pPr>
      <w:r>
        <w:t xml:space="preserve">Flags: configurable thresholds with CFPB citations (term over 60 months, LTV over 100%, reserve under one month, add-ons financed, prepayment penalty); never a safe/unsafe verdict.</w:t>
      </w:r>
    </w:p>
    <w:p>
      <w:pPr>
        <w:pStyle w:val="Heading1"/>
        <w:spacing w:after="160" w:before="360"/>
      </w:pPr>
      <w:r>
        <w:t xml:space="preserve">7. Data architecture</w:t>
      </w:r>
    </w:p>
    <w:p>
      <w:pPr>
        <w:spacing w:after="120"/>
      </w:pPr>
      <w:r>
        <w:t xml:space="preserve">Inputs are an immutable EngineInputs object built from the FinancialProfile and LoanOffer; output is a CalculationResult with per-metric value, status, formula id, missing inputs and assumption ids, plus the amortization schedule and flags. Results are stored as JSON inside the DecisionReport with calc_version.</w:t>
      </w:r>
    </w:p>
    <w:p>
      <w:pPr>
        <w:pStyle w:val="Heading1"/>
        <w:spacing w:after="160" w:before="360"/>
      </w:pPr>
      <w:r>
        <w:t xml:space="preserve">8. Interface dependencies</w:t>
      </w:r>
    </w:p>
    <w:p>
      <w:pPr>
        <w:pStyle w:val="ListParagraph"/>
        <w:numPr>
          <w:ilvl w:val="0"/>
          <w:numId w:val="2"/>
        </w:numPr>
        <w:spacing w:after="60"/>
      </w:pPr>
      <w:r>
        <w:t xml:space="preserve">Stage 1 calls compute in partial mode for sensitivity.</w:t>
      </w:r>
    </w:p>
    <w:p>
      <w:pPr>
        <w:pStyle w:val="ListParagraph"/>
        <w:numPr>
          <w:ilvl w:val="0"/>
          <w:numId w:val="2"/>
        </w:numPr>
        <w:spacing w:after="60"/>
      </w:pPr>
      <w:r>
        <w:t xml:space="preserve">Stage 2 imports payment and solve_apr for document checks.</w:t>
      </w:r>
    </w:p>
    <w:p>
      <w:pPr>
        <w:pStyle w:val="ListParagraph"/>
        <w:numPr>
          <w:ilvl w:val="0"/>
          <w:numId w:val="2"/>
        </w:numPr>
        <w:spacing w:after="60"/>
      </w:pPr>
      <w:r>
        <w:t xml:space="preserve">Stage 4 reuses the monthly cash-flow function; Stage 5 re-runs compute per alternative.</w:t>
      </w:r>
    </w:p>
    <w:p>
      <w:pPr>
        <w:pStyle w:val="ListParagraph"/>
        <w:numPr>
          <w:ilvl w:val="0"/>
          <w:numId w:val="2"/>
        </w:numPr>
        <w:spacing w:after="60"/>
      </w:pPr>
      <w:r>
        <w:t xml:space="preserve">Stage 6 renders formula ids, flags and citations.</w:t>
      </w:r>
    </w:p>
    <w:p>
      <w:pPr>
        <w:pStyle w:val="Heading1"/>
        <w:spacing w:after="160" w:before="360"/>
      </w:pPr>
      <w:r>
        <w:t xml:space="preserve">9. Deployment requirements</w:t>
      </w:r>
    </w:p>
    <w:p>
      <w:pPr>
        <w:spacing w:after="120"/>
      </w:pPr>
      <w:r>
        <w:t xml:space="preserve">Ships inside the api container; config mounted read-only; no secrets.</w:t>
      </w:r>
    </w:p>
    <w:p>
      <w:pPr>
        <w:pStyle w:val="Heading1"/>
        <w:spacing w:after="160" w:before="360"/>
      </w:pPr>
      <w:r>
        <w:t xml:space="preserve">10. Security requirements</w:t>
      </w:r>
    </w:p>
    <w:p>
      <w:pPr>
        <w:spacing w:after="120"/>
      </w:pPr>
      <w:r>
        <w:t xml:space="preserve">No I/O; logs reference ids only; config contains no user data.</w:t>
      </w:r>
    </w:p>
    <w:p>
      <w:pPr>
        <w:pStyle w:val="Heading1"/>
        <w:spacing w:after="160" w:before="360"/>
      </w:pPr>
      <w:r>
        <w:t xml:space="preserve">11. Technology trade-offs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600"/>
        <w:gridCol w:w="4960"/>
      </w:tblGrid>
      <w:tr>
        <w:trPr>
          <w:tblHeader/>
        </w:trPr>
        <w:tc>
          <w:tcPr>
            <w:tcW w:type="dxa" w:w="28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b/>
                <w:bCs/>
                <w:sz w:val="19"/>
                <w:szCs w:val="19"/>
              </w:rPr>
              <w:t xml:space="preserve">Alternative</w:t>
            </w:r>
          </w:p>
        </w:tc>
        <w:tc>
          <w:tcPr>
            <w:tcW w:type="dxa" w:w="1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b/>
                <w:bCs/>
                <w:sz w:val="19"/>
                <w:szCs w:val="19"/>
              </w:rPr>
              <w:t xml:space="preserve">Weighted score</w:t>
            </w:r>
          </w:p>
        </w:tc>
        <w:tc>
          <w:tcPr>
            <w:tcW w:type="dxa" w:w="496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b/>
                <w:bCs/>
                <w:sz w:val="19"/>
                <w:szCs w:val="19"/>
              </w:rPr>
              <w:t xml:space="preserve">Reason not selected</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float + numpy-financial</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4.00</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Cent drift and display rounding ambiguity; unnecessary dependency</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TypeScript engine with decimal.js</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3.60</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Splits the engine from the Python stages that must call it</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External financial API or spreadsheet engine</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2.40</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Network dependency, opacity, cost</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Python decimal pure functions (selected)</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4.65</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w:t>
            </w:r>
          </w:p>
        </w:tc>
      </w:tr>
    </w:tbl>
    <w:p>
      <w:pPr>
        <w:spacing w:after="120"/>
      </w:pPr>
    </w:p>
    <w:p>
      <w:pPr>
        <w:pStyle w:val="Heading1"/>
        <w:spacing w:after="160" w:before="360"/>
      </w:pPr>
      <w:r>
        <w:t xml:space="preserve">12. Cost estimates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200"/>
        <w:gridCol w:w="4560"/>
      </w:tblGrid>
      <w:tr>
        <w:trPr>
          <w:tblHeader/>
        </w:trPr>
        <w:tc>
          <w:tcPr>
            <w:tcW w:type="dxa" w:w="2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b/>
                <w:bCs/>
                <w:sz w:val="19"/>
                <w:szCs w:val="19"/>
              </w:rPr>
              <w:t xml:space="preserve">Item</w:t>
            </w:r>
          </w:p>
        </w:tc>
        <w:tc>
          <w:tcPr>
            <w:tcW w:type="dxa" w:w="22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b/>
                <w:bCs/>
                <w:sz w:val="19"/>
                <w:szCs w:val="19"/>
              </w:rPr>
              <w:t xml:space="preserve">Estimate</w:t>
            </w:r>
          </w:p>
        </w:tc>
        <w:tc>
          <w:tcPr>
            <w:tcW w:type="dxa" w:w="456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b/>
                <w:bCs/>
                <w:sz w:val="19"/>
                <w:szCs w:val="19"/>
              </w:rPr>
              <w:t xml:space="preserve">Assumption</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Compute and infrastructure</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none</w:t>
            </w:r>
          </w:p>
        </w:tc>
        <w:tc>
          <w:tcPr>
            <w:tcW w:type="dxa" w:w="4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In-process; milliseconds per evaluation</w:t>
            </w:r>
          </w:p>
        </w:tc>
      </w:tr>
    </w:tbl>
    <w:p>
      <w:pPr>
        <w:spacing w:after="120"/>
      </w:pPr>
    </w:p>
    <w:p>
      <w:pPr>
        <w:pStyle w:val="Heading1"/>
        <w:spacing w:after="160" w:before="360"/>
      </w:pPr>
      <w:r>
        <w:t xml:space="preserve">13. Implementation milestones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400"/>
        <w:gridCol w:w="4960"/>
      </w:tblGrid>
      <w:tr>
        <w:trPr>
          <w:tblHeader/>
        </w:trPr>
        <w:tc>
          <w:tcPr>
            <w:tcW w:type="dxa" w:w="3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b/>
                <w:bCs/>
                <w:sz w:val="19"/>
                <w:szCs w:val="19"/>
              </w:rPr>
              <w:t xml:space="preserve">Milestone</w:t>
            </w:r>
          </w:p>
        </w:tc>
        <w:tc>
          <w:tcPr>
            <w:tcW w:type="dxa" w:w="14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b/>
                <w:bCs/>
                <w:sz w:val="19"/>
                <w:szCs w:val="19"/>
              </w:rPr>
              <w:t xml:space="preserve">Checkpoint</w:t>
            </w:r>
          </w:p>
        </w:tc>
        <w:tc>
          <w:tcPr>
            <w:tcW w:type="dxa" w:w="496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b/>
                <w:bCs/>
                <w:sz w:val="19"/>
                <w:szCs w:val="19"/>
              </w:rPr>
              <w:t xml:space="preserve">Deliverable</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F01–F11, flags, config, partial compute, CFPB vector tests</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CP1</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Engine powers the vertical slice</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F12 value curve (decision Q-2), property tests, golden files</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CP2</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Negative-equity timeline; reproducibility pinned</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Performance measurement, independent spreadsheet cross-check</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CP3</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Acceptance tests A-07, A-08 green</w:t>
            </w:r>
          </w:p>
        </w:tc>
      </w:tr>
    </w:tbl>
    <w:p>
      <w:pPr>
        <w:spacing w:after="120"/>
      </w:pPr>
    </w:p>
    <w:p>
      <w:pPr>
        <w:pStyle w:val="Heading1"/>
        <w:spacing w:after="160" w:before="360"/>
      </w:pPr>
      <w:r>
        <w:t xml:space="preserve">14. Testing strategy</w:t>
      </w:r>
    </w:p>
    <w:p>
      <w:pPr>
        <w:pStyle w:val="ListParagraph"/>
        <w:numPr>
          <w:ilvl w:val="0"/>
          <w:numId w:val="2"/>
        </w:numPr>
        <w:spacing w:after="60"/>
      </w:pPr>
      <w:r>
        <w:t xml:space="preserve">External reference vectors: CFPB en-753 term table and the auto-loan worksheet example (exact to cents).</w:t>
      </w:r>
    </w:p>
    <w:p>
      <w:pPr>
        <w:pStyle w:val="ListParagraph"/>
        <w:numPr>
          <w:ilvl w:val="0"/>
          <w:numId w:val="2"/>
        </w:numPr>
        <w:spacing w:after="60"/>
      </w:pPr>
      <w:r>
        <w:t xml:space="preserve">Property tests: schedule ends at zero; principal sums to the amount financed; monotone relations between term, payment and interest.</w:t>
      </w:r>
    </w:p>
    <w:p>
      <w:pPr>
        <w:pStyle w:val="ListParagraph"/>
        <w:numPr>
          <w:ilvl w:val="0"/>
          <w:numId w:val="2"/>
        </w:numPr>
        <w:spacing w:after="60"/>
      </w:pPr>
      <w:r>
        <w:t xml:space="preserve">Golden JSON fixtures pinned byte-for-byte; any change requires a calc_version bump.</w:t>
      </w:r>
    </w:p>
    <w:p>
      <w:pPr>
        <w:pStyle w:val="ListParagraph"/>
        <w:numPr>
          <w:ilvl w:val="0"/>
          <w:numId w:val="2"/>
        </w:numPr>
        <w:spacing w:after="60"/>
      </w:pPr>
      <w:r>
        <w:t xml:space="preserve">Independent spreadsheet PMT cross-check by a second developer for five cases.</w:t>
      </w:r>
    </w:p>
    <w:p>
      <w:pPr>
        <w:pStyle w:val="Heading1"/>
        <w:spacing w:after="160" w:before="360"/>
      </w:pPr>
      <w:r>
        <w:t xml:space="preserve">15. Final recommendation</w:t>
      </w:r>
    </w:p>
    <w:p>
      <w:pPr>
        <w:spacing w:after="120"/>
      </w:pPr>
      <w:r>
        <w:t xml:space="preserve">Build the engine first and test it against the CFPB figures before anything else; it is the foundation every other stage calls and the strongest evidence of correctness the team can show judges.</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8"/>
        <w:szCs w:val="18"/>
      </w:rPr>
      <w:t xml:space="preserve">DecisionTwin architecture research · page </w:t>
    </w:r>
    <w:r>
      <w:rPr>
        <w:color w:val="777777"/>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b/>
      <w:bCs/>
      <w:color w:val="2F5496"/>
      <w:sz w:val="30"/>
      <w:szCs w:val="30"/>
    </w:rPr>
  </w:style>
  <w:style w:type="paragraph" w:styleId="Heading2">
    <w:name w:val="Heading 2"/>
    <w:basedOn w:val="Normal"/>
    <w:next w:val="Normal"/>
    <w:qFormat/>
    <w:pPr>
      <w:outlineLvl w:val="1"/>
    </w:pPr>
    <w:rPr>
      <w:b/>
      <w:bCs/>
      <w:color w:val="2F549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Stage 03 — Technical Stack Specification</dc:title>
  <dc:creator>DecisionTwin Supervisor Agent</dc:creator>
  <cp:lastModifiedBy>Un-named</cp:lastModifiedBy>
  <cp:revision>1</cp:revision>
  <dcterms:created xsi:type="dcterms:W3CDTF">2026-10-24T22:08:08.765Z</dcterms:created>
  <dcterms:modified xsi:type="dcterms:W3CDTF">2026-10-24T22:08:08.765Z</dcterms:modified>
</cp:coreProperties>
</file>

<file path=docProps/custom.xml><?xml version="1.0" encoding="utf-8"?>
<Properties xmlns="http://schemas.openxmlformats.org/officeDocument/2006/custom-properties" xmlns:vt="http://schemas.openxmlformats.org/officeDocument/2006/docPropsVTypes"/>
</file>