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sz w:val="40"/>
          <w:szCs w:val="40"/>
        </w:rPr>
        <w:t xml:space="preserve">Stage 04 — Technical Stack Specification</w:t>
      </w:r>
    </w:p>
    <w:p>
      <w:pPr>
        <w:spacing w:after="80"/>
      </w:pPr>
      <w:r>
        <w:rPr>
          <w:color w:val="555555"/>
          <w:sz w:val="22"/>
          <w:szCs w:val="22"/>
        </w:rPr>
        <w:t xml:space="preserve">Financial Uncertainty &amp; Risk Simulation</w:t>
      </w:r>
    </w:p>
    <w:p>
      <w:pPr>
        <w:pBdr>
          <w:bottom w:val="single" w:color="2F5496" w:sz="6" w:space="4"/>
        </w:pBdr>
        <w:spacing w:after="240"/>
      </w:pPr>
      <w:r>
        <w:rPr>
          <w:color w:val="777777"/>
          <w:sz w:val="18"/>
          <w:szCs w:val="18"/>
        </w:rPr>
        <w:t xml:space="preserve">DecisionTwin — HackPSU Fall 2026 (FNB Challenge · Nittany AI Challenge) · Architecture research deliverable · 2026-10-24</w:t>
      </w:r>
    </w:p>
    <w:p>
      <w:pPr>
        <w:pStyle w:val="Heading1"/>
        <w:spacing w:after="160" w:before="360"/>
      </w:pPr>
      <w:r>
        <w:t xml:space="preserve">1. Stage overview</w:t>
      </w:r>
    </w:p>
    <w:p>
      <w:pPr>
        <w:spacing w:after="120"/>
      </w:pPr>
      <w:r>
        <w:t xml:space="preserve">Stage 4 shows how the loan behaves if circumstances change. The MVP uses deterministic stress scenarios with CFPB-grounded default shocks, one-at-a-time sensitivity analysis, and a bisection search for the largest income drop the household could sustain for a set number of months. Monte Carlo over a triangular income distribution is an enhancement with explicit assumption labels. No probability of financial distress is claimed.</w:t>
      </w:r>
    </w:p>
    <w:p>
      <w:pPr>
        <w:pStyle w:val="Heading1"/>
        <w:spacing w:after="160" w:before="360"/>
      </w:pPr>
      <w:r>
        <w:t xml:space="preserve">2. Selected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Component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Selection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Why selected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Scenario runner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Pure Python over the Stage 3 monthly cash-flow function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Consistency with the baseline by construction; reproducible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Scenario catalog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scenarios.yaml with assumption ids and citations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Defaults are visible, editable and cited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Sensitivity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One-at-a-time ±10% driver perturbation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Needs no distributions; answers "what drives the result"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Resilience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Bisection for break-even income drop; runway months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Meaningful without a universal risk score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Monte Carlo (enhanced)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NumPy default_rng with fixed seed, triangular(min, typical, max)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Minimal-assumption distribution from user-stated range; seed exposed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3. Frameworks and libraries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96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Library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Role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Version selection criteria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decimal (stdlib)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Deterministic paths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 3.12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numpy (optional)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Monte Carlo sampling only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Current stable 2.x; added only if the enhancement is built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pydantic</w:t>
            </w:r>
          </w:p>
        </w:tc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ScenarioRequest/Result schemas</w:t>
            </w:r>
          </w:p>
        </w:tc>
        <w:tc>
          <w:tcPr>
            <w:tcW w:type="dxa" w:w="3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v2.x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i/>
          <w:iCs/>
          <w:color w:val="555555"/>
          <w:sz w:val="20"/>
          <w:szCs w:val="20"/>
        </w:rPr>
        <w:t xml:space="preserve">Pin exact versions in lockfiles at checkpoint CP0; prefer releases at least two weeks old; record chosen versions in the repository README. Versions listed below are selection criteria, not verified pins.</w:t>
      </w:r>
    </w:p>
    <w:p>
      <w:pPr>
        <w:pStyle w:val="Heading1"/>
        <w:spacing w:after="160" w:before="360"/>
      </w:pPr>
      <w:r>
        <w:t xml:space="preserve">4. Infrastructure requirements</w:t>
      </w:r>
    </w:p>
    <w:p>
      <w:pPr>
        <w:spacing w:after="120"/>
      </w:pPr>
      <w:r>
        <w:t xml:space="preserve">None. Deterministic catalog, sensitivity and break-even run in tens of milliseconds; Monte Carlo at 2,000 paths × 12 months is estimated under 200 ms.</w:t>
      </w:r>
    </w:p>
    <w:p>
      <w:pPr>
        <w:pStyle w:val="Heading1"/>
        <w:spacing w:after="160" w:before="360"/>
      </w:pPr>
      <w:r>
        <w:t xml:space="preserve">5. AI models and APIs</w:t>
      </w:r>
    </w:p>
    <w:p>
      <w:pPr>
        <w:spacing w:after="120"/>
      </w:pPr>
      <w:r>
        <w:t xml:space="preserve">None. Scenario definitions and results are deterministic; explanations of results are produced by Stage 6 from structured outputs.</w:t>
      </w:r>
    </w:p>
    <w:p>
      <w:pPr>
        <w:pStyle w:val="Heading1"/>
        <w:spacing w:after="160" w:before="360"/>
      </w:pPr>
      <w:r>
        <w:t xml:space="preserve">6. Algorithm recommendations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Monthly recursion: savings_t = savings_t−1 + income_t − outflows_t with first shortfall, runway, cumulative shortfall and recovery month recorded.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Default catalog: income dip of three weeks of income twice in twelve months (CFPB median shock), one-time unexpected expense of three weeks of income, −25% income for three months, job loss for N months, ownership costs +20%, and a custom scenario.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Ranges from the user (min/typical/max) are handled deterministically with a "low month every month" scenario rather than a distribution.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Break-even income drop: bisection over the drop fraction for M months (default 3) such that the minimum savings balance stays at or above zero.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 result carries assumption objects with citations; wording rules forbid presenting runway as a prediction.</w:t>
      </w:r>
    </w:p>
    <w:p>
      <w:pPr>
        <w:pStyle w:val="Heading1"/>
        <w:spacing w:after="160" w:before="360"/>
      </w:pPr>
      <w:r>
        <w:t xml:space="preserve">7. Data architecture</w:t>
      </w:r>
    </w:p>
    <w:p>
      <w:pPr>
        <w:spacing w:after="120"/>
      </w:pPr>
      <w:r>
        <w:t xml:space="preserve">ScenarioRequest (scenario id, type, params, horizon, seed, assumption ids) and ScenarioResult (monthly paths, first shortfall month, runway, cumulative shortfall, recovery month, assumptions) stored as JSON in the DecisionReport; ResilienceSummary with break-even drop and buffer months.</w:t>
      </w:r>
    </w:p>
    <w:p>
      <w:pPr>
        <w:pStyle w:val="Heading1"/>
        <w:spacing w:after="160" w:before="360"/>
      </w:pPr>
      <w:r>
        <w:t xml:space="preserve">8. Interface dependencies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Stage 3: month_net function and payment; baseline scenario must equal the engine residual × 12 (acceptance test).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Stage 5: identical catalog and assumption ids for every alternative.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Stage 6: assumptions panel rendered beside every scenario card.</w:t>
      </w:r>
    </w:p>
    <w:p>
      <w:pPr>
        <w:pStyle w:val="Heading1"/>
        <w:spacing w:after="160" w:before="360"/>
      </w:pPr>
      <w:r>
        <w:t xml:space="preserve">9. Deployment requirements</w:t>
      </w:r>
    </w:p>
    <w:p>
      <w:pPr>
        <w:spacing w:after="120"/>
      </w:pPr>
      <w:r>
        <w:t xml:space="preserve">Ships inside the api container; scenarios.yaml mounted read-only.</w:t>
      </w:r>
    </w:p>
    <w:p>
      <w:pPr>
        <w:pStyle w:val="Heading1"/>
        <w:spacing w:after="160" w:before="360"/>
      </w:pPr>
      <w:r>
        <w:t xml:space="preserve">10. Security requirements</w:t>
      </w:r>
    </w:p>
    <w:p>
      <w:pPr>
        <w:spacing w:after="120"/>
      </w:pPr>
      <w:r>
        <w:t xml:space="preserve">No new data collection; the optional employment-stability fact is T2 and session-scoped.</w:t>
      </w:r>
    </w:p>
    <w:p>
      <w:pPr>
        <w:pStyle w:val="Heading1"/>
        <w:spacing w:after="160" w:before="360"/>
      </w:pPr>
      <w:r>
        <w:t xml:space="preserve">11. Technology trade-offs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600"/>
        <w:gridCol w:w="4960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Alternative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Weighted score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Reason not selected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Monte Carlo on triangular income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3.45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Distribution is itself an assumption; easily over-read; kept as a labeled enhancement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Scenario tree with probabilities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3.10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defensible branch probabilities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Predictive distress model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1.80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individual data; population statistics misapplied; misleading</w:t>
            </w:r>
          </w:p>
        </w:tc>
      </w:tr>
      <w:t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Deterministic scenarios + sensitivity + break-even (selected)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4.60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12. Cost estimates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4560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Item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Estimate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Assumption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Compute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none</w:t>
            </w:r>
          </w:p>
        </w:tc>
        <w:tc>
          <w:tcPr>
            <w:tcW w:type="dxa" w:w="4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Milliseconds per analysis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13. Implementation milestones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400"/>
        <w:gridCol w:w="49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Milestone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Checkpoint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Deliverable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Runner + default catalog + break-even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CP2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Stress cards and break-even number in the dashboard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Sensitivity ranking; monotonicity and reproducibility tests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CP3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Acceptance tests A-09, A-10 green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Monte Carlo (enhanced, flagged)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after CP3 only if time</w:t>
            </w:r>
          </w:p>
        </w:tc>
        <w:tc>
          <w:tcPr>
            <w:tcW w:type="dxa" w:w="4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Assumption-driven ranges with seed shown</w:t>
            </w:r>
          </w:p>
        </w:tc>
      </w:tr>
    </w:tbl>
    <w:p>
      <w:pPr>
        <w:spacing w:after="120"/>
      </w:pPr>
    </w:p>
    <w:p>
      <w:pPr>
        <w:pStyle w:val="Heading1"/>
        <w:spacing w:after="160" w:before="360"/>
      </w:pPr>
      <w:r>
        <w:t xml:space="preserve">14. Testing strategy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equality with Stage 3.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Hand-computed 12-month paths for three fixtures cross-checked in a spreadsheet.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Monotonicity: more savings never shortens runway; larger shock never reduces cumulative shortfall.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Golden files; label audit that every scenario has a cited assumption.</w:t>
      </w:r>
    </w:p>
    <w:p>
      <w:pPr>
        <w:pStyle w:val="Heading1"/>
        <w:spacing w:after="160" w:before="360"/>
      </w:pPr>
      <w:r>
        <w:t xml:space="preserve">15. Final recommendation</w:t>
      </w:r>
    </w:p>
    <w:p>
      <w:pPr>
        <w:spacing w:after="120"/>
      </w:pPr>
      <w:r>
        <w:t xml:space="preserve">Deliver deterministic scenarios with visible assumptions and the break-even income drop as the resilience measure. Resist adding Monte Carlo before the deterministic layer is tested and labeled; the honest capability is consequence analysis under stated assumptions, not forecasting.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DecisionTwin architecture research · page </w:t>
    </w: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b/>
      <w:bCs/>
      <w:color w:val="2F5496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b/>
      <w:bCs/>
      <w:color w:val="2F549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04 — Technical Stack Specification</dc:title>
  <dc:creator>DecisionTwin Supervisor Agent</dc:creator>
  <cp:lastModifiedBy>Un-named</cp:lastModifiedBy>
  <cp:revision>1</cp:revision>
  <dcterms:created xsi:type="dcterms:W3CDTF">2026-10-24T22:08:08.797Z</dcterms:created>
  <dcterms:modified xsi:type="dcterms:W3CDTF">2026-10-24T22:08:08.797Z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