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0"/>
          <w:szCs w:val="40"/>
        </w:rPr>
        <w:t xml:space="preserve">Stage 05 — Technical Stack Specification</w:t>
      </w:r>
    </w:p>
    <w:p>
      <w:pPr>
        <w:spacing w:after="80"/>
      </w:pPr>
      <w:r>
        <w:rPr>
          <w:color w:val="555555"/>
          <w:sz w:val="22"/>
          <w:szCs w:val="22"/>
        </w:rPr>
        <w:t xml:space="preserve">Counterfactual Decision &amp; Alternative Evaluation</w:t>
      </w:r>
    </w:p>
    <w:p>
      <w:pPr>
        <w:pBdr>
          <w:bottom w:val="single" w:color="2F5496" w:sz="6" w:space="4"/>
        </w:pBdr>
        <w:spacing w:after="240"/>
      </w:pPr>
      <w:r>
        <w:rPr>
          <w:color w:val="777777"/>
          <w:sz w:val="18"/>
          <w:szCs w:val="18"/>
        </w:rPr>
        <w:t xml:space="preserve">DecisionTwin — HackPSU Fall 2026 (FNB Challenge · Nittany AI Challenge) · Architecture research deliverable · 2026-10-24</w:t>
      </w:r>
    </w:p>
    <w:p>
      <w:pPr>
        <w:pStyle w:val="Heading1"/>
        <w:spacing w:after="160" w:before="360"/>
      </w:pPr>
      <w:r>
        <w:t xml:space="preserve">1. Stage overview</w:t>
      </w:r>
    </w:p>
    <w:p>
      <w:pPr>
        <w:spacing w:after="120"/>
      </w:pPr>
      <w:r>
        <w:t xml:space="preserve">Stage 5 enumerates alternative versions of the decision — different down payment, term, principal, competing APRs, add-ons removed, delayed purchase — evaluates each with the same engine and scenario catalog, filters dominated options by Pareto dominance, and ranks which lever matters most for this user. It presents trade-offs and the feasibility of the user's own constraints; it never selects a single best option and never makes causal claims.</w:t>
      </w:r>
    </w:p>
    <w:p>
      <w:pPr>
        <w:pStyle w:val="Heading1"/>
        <w:spacing w:after="160" w:before="360"/>
      </w:pPr>
      <w:r>
        <w:t xml:space="preserve">2. Selected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Selection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Why selected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Alternative generation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Cartesian product of discrete lever domains with feasibility filters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Small, transparent search space (≤ 200 by default)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Evaluation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Stage 3 compute + Stage 4 run_catalog per alternative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Same arithmetic and assumptions as the baseline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Trade-off analysis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Pareto dominance over three objectives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Preference-free; no utility weights assumed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Lever ranking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One-at-a-time normalized effect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Explains which change matters most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3. Frameworks and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Library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Version selection criteria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itertools (stdlib)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Grid generation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3.12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pydantic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CounterfactualResult schemas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v2.x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SciPy/OR-Tools optimizers are deliberately excluded (ADR-008). Pin exact versions in lockfiles at checkpoint CP0; prefer releases at least two weeks old; record chosen versions in the repository README. Versions listed below are selection criteria, not verified pins.</w:t>
      </w:r>
    </w:p>
    <w:p>
      <w:pPr>
        <w:pStyle w:val="Heading1"/>
        <w:spacing w:after="160" w:before="360"/>
      </w:pPr>
      <w:r>
        <w:t xml:space="preserve">4. Infrastructure requirements</w:t>
      </w:r>
    </w:p>
    <w:p>
      <w:pPr>
        <w:spacing w:after="120"/>
      </w:pPr>
      <w:r>
        <w:t xml:space="preserve">None. Default grid evaluation is targeted at under one second; the grid is capped rather than parallelized.</w:t>
      </w:r>
    </w:p>
    <w:p>
      <w:pPr>
        <w:pStyle w:val="Heading1"/>
        <w:spacing w:after="160" w:before="360"/>
      </w:pPr>
      <w:r>
        <w:t xml:space="preserve">5. AI models and APIs</w:t>
      </w:r>
    </w:p>
    <w:p>
      <w:pPr>
        <w:spacing w:after="120"/>
      </w:pPr>
      <w:r>
        <w:t xml:space="preserve">None. Trade-off statements are produced as structured facts; any narrative passes through the Stage 6 validation gate.</w:t>
      </w:r>
    </w:p>
    <w:p>
      <w:pPr>
        <w:pStyle w:val="Heading1"/>
        <w:spacing w:after="160" w:before="360"/>
      </w:pPr>
      <w:r>
        <w:t xml:space="preserve">6. Algorithm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Lever domains from levers.yaml with user overrides: down payment increments bounded by savings minus a reserve floor; terms 36/48/60/72; principal −0/−5/−10%; APR of other offers (plus an optional clearly hypothetical lower rate, decision Q-3); add-ons keep/remove; delay 0/3/6 months.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Feasibility against user constraints (max payment, minimum reserve months, max term, keep add-on); infeasible options kept with reasons.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Pareto set over total interest (min), monthly residual after (max), break-even income drop (max); stable display ordering.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Consistency: the all-base alternative must reproduce the baseline byte for byte; monotonic expectations tested.</w:t>
      </w:r>
    </w:p>
    <w:p>
      <w:pPr>
        <w:pStyle w:val="Heading1"/>
        <w:spacing w:after="160" w:before="360"/>
      </w:pPr>
      <w:r>
        <w:t xml:space="preserve">7. Data architecture</w:t>
      </w:r>
    </w:p>
    <w:p>
      <w:pPr>
        <w:spacing w:after="120"/>
      </w:pPr>
      <w:r>
        <w:t xml:space="preserve">CounterfactualResult with alternatives (lever values, metrics, deltas vs base, feasibility), pareto_set ids, objectives, sensitivity ranking and notes; TradeOffFact records for Stage 6. Stored in the DecisionReport.</w:t>
      </w:r>
    </w:p>
    <w:p>
      <w:pPr>
        <w:pStyle w:val="Heading1"/>
        <w:spacing w:after="160" w:before="360"/>
      </w:pPr>
      <w:r>
        <w:t xml:space="preserve">8. Interface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3 and Stage 4 as pure function calls with the same inputs.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6: Pareto scatter, trade-off statements, constraint inputs; narration restricted to numbers present in the result.</w:t>
      </w:r>
    </w:p>
    <w:p>
      <w:pPr>
        <w:pStyle w:val="Heading1"/>
        <w:spacing w:after="160" w:before="360"/>
      </w:pPr>
      <w:r>
        <w:t xml:space="preserve">9. Deployment requirements</w:t>
      </w:r>
    </w:p>
    <w:p>
      <w:pPr>
        <w:spacing w:after="120"/>
      </w:pPr>
      <w:r>
        <w:t xml:space="preserve">Ships inside the api container; levers.yaml mounted read-only.</w:t>
      </w:r>
    </w:p>
    <w:p>
      <w:pPr>
        <w:pStyle w:val="Heading1"/>
        <w:spacing w:after="160" w:before="360"/>
      </w:pPr>
      <w:r>
        <w:t xml:space="preserve">10. Security requirements</w:t>
      </w:r>
    </w:p>
    <w:p>
      <w:pPr>
        <w:spacing w:after="120"/>
      </w:pPr>
      <w:r>
        <w:t xml:space="preserve">No new data; competing offers may include lender names, stored session-scoped only.</w:t>
      </w:r>
    </w:p>
    <w:p>
      <w:pPr>
        <w:pStyle w:val="Heading1"/>
        <w:spacing w:after="160" w:before="360"/>
      </w:pPr>
      <w:r>
        <w:t xml:space="preserve">11. Technology 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Weighted score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Reason not selected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Constrained optimization with weighted objective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3.35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Requires preference weights; opaque; overkill for a tiny discrete space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Decision-tree enumeration with heuristics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3.80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Encodes designer preferences; brittle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LLM-proposed alternatives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2.70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Unverifiable; may propose infeasible or mispriced options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Exhaustive grid + Pareto + sensitivity (selected)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4.70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12. Cost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Estimate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Assumption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Compute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Under one second per analysis for ≤ 200 alternatives (to be measured)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13. Implementation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Checkpoint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Levers, grid, evaluation, Pareto, base-reproduction test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CP3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Alternatives screen with Pareto scatter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Lever sensitivity ranking; user constraints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CP3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Acceptance test A-11 green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Delay and principal levers; interactive overrides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after CP3 if time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Enhanced scope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14. Testing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reproduction byte-equal.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Pareto correctness on a hand-built six-point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Monotonicity suite across terms and down payments.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Determinism golden file and performance test.</w:t>
      </w:r>
    </w:p>
    <w:p>
      <w:pPr>
        <w:pStyle w:val="Heading1"/>
        <w:spacing w:after="160" w:before="360"/>
      </w:pPr>
      <w:r>
        <w:t xml:space="preserve">15. Final recommendation</w:t>
      </w:r>
    </w:p>
    <w:p>
      <w:pPr>
        <w:spacing w:after="120"/>
      </w:pPr>
      <w:r>
        <w:t xml:space="preserve">Implement the grid-and-Pareto approach after the scenario layer is stable; four levers are enough for the demo. Keep the language precise: these are what-if evaluations under the model's assumptions, not causal estimates and not a recommendation.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DecisionTwin architecture research ·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05 — Technical Stack Specification</dc:title>
  <dc:creator>DecisionTwin Supervisor Agent</dc:creator>
  <cp:lastModifiedBy>Un-named</cp:lastModifiedBy>
  <cp:revision>1</cp:revision>
  <dcterms:created xsi:type="dcterms:W3CDTF">2026-10-24T22:08:08.832Z</dcterms:created>
  <dcterms:modified xsi:type="dcterms:W3CDTF">2026-10-24T22:08:08.832Z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