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Stage 06 — Technical Stack Specification</w:t>
      </w:r>
    </w:p>
    <w:p>
      <w:pPr>
        <w:spacing w:after="80"/>
      </w:pPr>
      <w:r>
        <w:rPr>
          <w:color w:val="555555"/>
          <w:sz w:val="22"/>
          <w:szCs w:val="22"/>
        </w:rPr>
        <w:t xml:space="preserve">Explainable AI &amp; Decision Experience</w:t>
      </w:r>
    </w:p>
    <w:p>
      <w:pPr>
        <w:pBdr>
          <w:bottom w:val="single" w:color="2F5496" w:sz="6" w:space="4"/>
        </w:pBdr>
        <w:spacing w:after="240"/>
      </w:pPr>
      <w:r>
        <w:rPr>
          <w:color w:val="777777"/>
          <w:sz w:val="18"/>
          <w:szCs w:val="18"/>
        </w:rPr>
        <w:t xml:space="preserve">DecisionTwin — HackPSU Fall 2026 (FNB Challenge · Nittany AI Challenge) · Architecture research deliverable · 2026-10-24</w:t>
      </w:r>
    </w:p>
    <w:p>
      <w:pPr>
        <w:pStyle w:val="Heading1"/>
        <w:spacing w:after="160" w:before="360"/>
      </w:pPr>
      <w:r>
        <w:t xml:space="preserve">1. Stage overview</w:t>
      </w:r>
    </w:p>
    <w:p>
      <w:pPr>
        <w:spacing w:after="120"/>
      </w:pPr>
      <w:r>
        <w:t xml:space="preserve">Stage 6 is the user-facing experience and the explanation engine behind it. Every number shown carries a provenance chip; every report section has a deterministic template explanation; an optional LLM narration rewrites the template from a structured explanation plan and is accepted only if every number it contains is in the allowed set and no advice phrases appear. The frontend is Next.js with TypeScript, Tailwind, shadcn/ui and Recharts, with Zod types generated from the backend OpenAPI document.</w:t>
      </w:r>
    </w:p>
    <w:p>
      <w:pPr>
        <w:pStyle w:val="Heading1"/>
        <w:spacing w:after="160" w:before="360"/>
      </w:pPr>
      <w:r>
        <w:t xml:space="preserve">2. Selected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 selected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App Router + TypeScript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familiarity; server components for report fetch; routing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Styling / components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Accessible primitives (Radix); fast to build provenance chips, tables, drawers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Bar, line, scatter and composed charts cover all required visuals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 schemas generated from OpenAPI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 parity with the backend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Explanation engine (backend)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Jinja templates + ExplanationPlan + validation gate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Faithful explanations; AI wording optional and checked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Accessibility checks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axe-core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 WCAG 2.1 AA checks on four screens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Frameworks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selection criteria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next, react, typescript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framework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 majors as listed on nextjs.org; create-next-app defaults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tailwindcss, shadcn/ui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Styling and components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stable; shadcn components copied into the repo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recharts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Charts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 2.x or later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Runtime schema validation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jinja2, textstat (backend)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Templates; readability scoring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axe-core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Accessibility tests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Pin exact versions in lockfiles at checkpoint CP0; prefer releases at least two weeks old; record chosen versions in the repository README. Versions listed below are selection criteria, not verified pins.</w:t>
      </w:r>
    </w:p>
    <w:p>
      <w:pPr>
        <w:pStyle w:val="Heading1"/>
        <w:spacing w:after="160" w:before="360"/>
      </w:pPr>
      <w:r>
        <w:t xml:space="preserve">4. Infrastructure requirements</w:t>
      </w:r>
    </w:p>
    <w:p>
      <w:pPr>
        <w:spacing w:after="120"/>
      </w:pPr>
      <w:r>
        <w:t xml:space="preserve">Node.js 20+ for the web container; the api container serves the report and explain endpoints. No analytics or third-party scripts beyond fonts.</w:t>
      </w:r>
    </w:p>
    <w:p>
      <w:pPr>
        <w:pStyle w:val="Heading1"/>
        <w:spacing w:after="160" w:before="360"/>
      </w:pPr>
      <w:r>
        <w:t xml:space="preserve">5. AI models and APIs</w:t>
      </w:r>
    </w:p>
    <w:p>
      <w:pPr>
        <w:spacing w:after="120"/>
      </w:pPr>
      <w:r>
        <w:t xml:space="preserve">One call type: narration. Input: an ExplanationPlan listing facts, metrics, flags, assumptions, citations, allowed numbers and forbidden phrases, with a plain-language style instruction (≤ 120 words, no advice). Output: text, validated by numeric membership and a deny-list; on failure the template text is shown. Temperature 0.3; timeout 20 s.</w:t>
      </w:r>
    </w:p>
    <w:p>
      <w:pPr>
        <w:pStyle w:val="Heading1"/>
        <w:spacing w:after="160" w:before="360"/>
      </w:pPr>
      <w:r>
        <w:t xml:space="preserve">6. Algorithm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Explanation plan per section built from the DecisionReport; templates keyed by formula id and flag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gate: extract currency, percentage and month figures from the narrative, normalize, and require membership in the allowed set (including rounded variants the plan generated); reject comparatives and advice phrases from a configurable deny-list.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Provenance chips: icon + text label per source kind (you told us, from your document page N, calculated, assumption, AI wording); never color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report snapshot per screen set; stale-report banner on profile_version mismatch.</w:t>
      </w:r>
    </w:p>
    <w:p>
      <w:pPr>
        <w:pStyle w:val="Heading1"/>
        <w:spacing w:after="160" w:before="360"/>
      </w:pPr>
      <w:r>
        <w:t xml:space="preserve">7. Data architecture</w:t>
      </w:r>
    </w:p>
    <w:p>
      <w:pPr>
        <w:spacing w:after="120"/>
      </w:pPr>
      <w:r>
        <w:t xml:space="preserve">ExplanationSection (template text, optional narrative, validated flag, allowed numbers, evidence ids, provenance tags), glossary JSON of CFPB key terms, citation table. Frontend state is the DecisionReport plus intake state; no client-side persistence beyond the session token.</w:t>
      </w:r>
    </w:p>
    <w:p>
      <w:pPr>
        <w:pStyle w:val="Heading1"/>
        <w:spacing w:after="160" w:before="360"/>
      </w:pPr>
      <w:r>
        <w:t xml:space="preserve">8. Interface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1: question card with why_we_ask, completeness, skip/estimate, optional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2: verification table with evidence quotes, page numbers, check status and conflict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Stages 3–5: dashboard sections and charts from the report; explain endpoint for narration.</w:t>
      </w:r>
    </w:p>
    <w:p>
      <w:pPr>
        <w:pStyle w:val="Heading1"/>
        <w:spacing w:after="160" w:before="360"/>
      </w:pPr>
      <w:r>
        <w:t xml:space="preserve">9. Deployment requirements</w:t>
      </w:r>
    </w:p>
    <w:p>
      <w:pPr>
        <w:spacing w:after="120"/>
      </w:pPr>
      <w:r>
        <w:t xml:space="preserve">web container on port 3000 behind Docker Compose; API base URL from environment; optional Vercel deployment after CP2 with CORS allow-list on the API.</w:t>
      </w:r>
    </w:p>
    <w:p>
      <w:pPr>
        <w:pStyle w:val="Heading1"/>
        <w:spacing w:after="160" w:before="360"/>
      </w:pPr>
      <w:r>
        <w:t xml:space="preserve">10.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token held in memory (or httpOnly cookie in same-site deployment); delete-session action on every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third-party analytics; printed report excludes raw document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Non-advice framing enforced by templates, deny-list and disclaimers.</w:t>
      </w:r>
    </w:p>
    <w:p>
      <w:pPr>
        <w:pStyle w:val="Heading1"/>
        <w:spacing w:after="160" w:before="360"/>
      </w:pPr>
      <w:r>
        <w:t xml:space="preserve">11. Technology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Weighted score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Reason not selected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Template-only explanations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4.45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Mandatory first milestone; hybrid adds readability only after the gate exists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free-form from results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3.45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Unverifiable numbers; false confidence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RAG over CFPB corpus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Citations are already structured; adds a vector store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 templates + validated narration (selected)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4.50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 SPA / Streamlit (frontend)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 / 3.1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advantage over Next.js; insufficient control for provenance UI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12.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Assumption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Narration calls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negligible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 to six sections per report, about 850 tokens each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 (optional)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 hobby tier for the demo period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Cost figures are estimates for planning. Model prices must be read from the provider pricing page on the day; hackathon volume is expected to fall within free-tier or sponsor credits.</w:t>
      </w:r>
    </w:p>
    <w:p>
      <w:pPr>
        <w:pStyle w:val="Heading1"/>
        <w:spacing w:after="160" w:before="360"/>
      </w:pPr>
      <w:r>
        <w:t xml:space="preserve">13. Implementation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Checkpoint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shell; Now and With-this-loan screens with provenance chips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Vertical slice visible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Intake UI; verification table; stress cards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flow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Alternatives screen; missing-info panel; report print view; axe pass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complete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Narration behind a flag after gate tests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CP3 if gate tests pass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wording with validation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14.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tests: 30 synthetic narratives, 20 adversarial, all 20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Provenance coverage: every numeric node carries a data-evidence-id.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hallway usability tests with a scripted persona; zero testers read scenarios as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axe-core on four screens; keyboard-only walkthrough; template readability at grade 8 or below.</w:t>
      </w:r>
    </w:p>
    <w:p>
      <w:pPr>
        <w:pStyle w:val="Heading1"/>
        <w:spacing w:after="160" w:before="360"/>
      </w:pPr>
      <w:r>
        <w:t xml:space="preserve">15. Final recommendation</w:t>
      </w:r>
    </w:p>
    <w:p>
      <w:pPr>
        <w:spacing w:after="120"/>
      </w:pPr>
      <w:r>
        <w:t xml:space="preserve">Build the templates and provenance chips first; they are the trust mechanism judges can see. Add validated narration last and only behind the gate. Present the product as consequence analysis with sources, not as advice.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DecisionTwin architecture research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06 — Technical Stack Specification</dc:title>
  <dc:creator>DecisionTwin Supervisor Agent</dc:creator>
  <cp:lastModifiedBy>Un-named</cp:lastModifiedBy>
  <cp:revision>1</cp:revision>
  <dcterms:created xsi:type="dcterms:W3CDTF">2026-10-24T22:08:08.869Z</dcterms:created>
  <dcterms:modified xsi:type="dcterms:W3CDTF">2026-10-24T22:08:08.869Z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