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2D2D2D"/>
          <w:sz w:val="52"/>
        </w:rPr>
        <w:t>1-Day Technology Update Workshop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333333"/>
          <w:sz w:val="44"/>
        </w:rPr>
        <w:t>AI Disruption and the Future of</w:t>
        <w:br/>
        <w:t>Cooperative Enterprise Systems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4"/>
        </w:rPr>
        <w:t xml:space="preserve">Prepared for: </w:t>
      </w:r>
      <w:r>
        <w:rPr>
          <w:sz w:val="24"/>
        </w:rPr>
        <w:t>ANGKASA IT Division (Bahagian Teknologi Maklumat)</w:t>
      </w:r>
    </w:p>
    <w:p>
      <w:pPr>
        <w:pStyle w:val="Normal"/>
        <w:jc w:val="center"/>
        <w:rPr/>
      </w:pPr>
      <w:r>
        <w:rPr>
          <w:b/>
          <w:sz w:val="24"/>
        </w:rPr>
        <w:t xml:space="preserve">Prepared by: </w:t>
      </w:r>
      <w:r>
        <w:rPr>
          <w:sz w:val="24"/>
        </w:rPr>
        <w:t>red1</w:t>
      </w:r>
    </w:p>
    <w:p>
      <w:pPr>
        <w:pStyle w:val="Normal"/>
        <w:jc w:val="center"/>
        <w:rPr/>
      </w:pPr>
      <w:r>
        <w:rPr>
          <w:b/>
          <w:sz w:val="24"/>
        </w:rPr>
        <w:t xml:space="preserve">Facilitators: </w:t>
      </w:r>
      <w:r>
        <w:rPr>
          <w:sz w:val="24"/>
        </w:rPr>
        <w:t>NUSA TEAM</w:t>
      </w:r>
    </w:p>
    <w:p>
      <w:pPr>
        <w:pStyle w:val="Normal"/>
        <w:jc w:val="center"/>
        <w:rPr/>
      </w:pPr>
      <w:r>
        <w:rPr>
          <w:b/>
          <w:sz w:val="24"/>
        </w:rPr>
        <w:t xml:space="preserve">Target Date: </w:t>
      </w:r>
      <w:r>
        <w:rPr>
          <w:sz w:val="24"/>
        </w:rPr>
        <w:t>April 2026</w:t>
      </w:r>
    </w:p>
    <w:p>
      <w:pPr>
        <w:pStyle w:val="Normal"/>
        <w:jc w:val="center"/>
        <w:rPr/>
      </w:pPr>
      <w:r>
        <w:rPr>
          <w:b/>
          <w:sz w:val="24"/>
        </w:rPr>
        <w:t xml:space="preserve">Classification: </w:t>
      </w:r>
      <w:r>
        <w:rPr>
          <w:sz w:val="24"/>
        </w:rPr>
        <w:t>Discussion Draft — For Internal Review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Executive Summary</w:t>
      </w:r>
    </w:p>
    <w:p>
      <w:pPr>
        <w:pStyle w:val="Normal"/>
        <w:rPr/>
      </w:pPr>
      <w:r>
        <w:rPr>
          <w:sz w:val="22"/>
        </w:rPr>
        <w:t xml:space="preserve">ANGKASA sits at a critical juncture. Its core SPGA salary deduction system — serving </w:t>
      </w:r>
      <w:r>
        <w:rPr>
          <w:b/>
          <w:sz w:val="22"/>
        </w:rPr>
        <w:t>3.5 million cooperative members</w:t>
      </w:r>
      <w:r>
        <w:rPr>
          <w:sz w:val="22"/>
        </w:rPr>
        <w:t xml:space="preserve"> across </w:t>
      </w:r>
      <w:r>
        <w:rPr>
          <w:b/>
          <w:sz w:val="22"/>
        </w:rPr>
        <w:t>16,284 cooperatives</w:t>
      </w:r>
      <w:r>
        <w:rPr>
          <w:sz w:val="22"/>
        </w:rPr>
        <w:t xml:space="preserve"> — runs on </w:t>
      </w:r>
      <w:r>
        <w:rPr>
          <w:b/>
          <w:sz w:val="22"/>
        </w:rPr>
        <w:t>Unisys ClearPath technology deployed since 1996</w:t>
      </w:r>
      <w:r>
        <w:rPr>
          <w:sz w:val="22"/>
        </w:rPr>
        <w:t>. This 30-year-old mainframe backbone has been reliable, but the world around it is changing at unprecedented speed.</w:t>
      </w:r>
    </w:p>
    <w:p>
      <w:pPr>
        <w:pStyle w:val="Normal"/>
        <w:rPr/>
      </w:pPr>
      <w:r>
        <w:rPr>
          <w:sz w:val="22"/>
        </w:rPr>
        <w:t xml:space="preserve">This paper presents the case that </w:t>
      </w:r>
      <w:r>
        <w:rPr>
          <w:b/>
          <w:sz w:val="22"/>
        </w:rPr>
        <w:t>any ERP procurement exercise conducted in 2026 without accounting for AI disruption risks locking ANGKASA into another generation of vendor dependency</w:t>
      </w:r>
      <w:r>
        <w:rPr>
          <w:sz w:val="22"/>
        </w:rPr>
        <w:t xml:space="preserve"> — precisely at the moment when the economics of enterprise software are being fundamentally rewritten.</w:t>
      </w:r>
    </w:p>
    <w:p>
      <w:pPr>
        <w:pStyle w:val="Normal"/>
        <w:rPr/>
      </w:pPr>
      <w:r>
        <w:rPr>
          <w:sz w:val="22"/>
        </w:rPr>
        <w:t xml:space="preserve">The opportunity is equally significant: ANGKASA’s unique position as the </w:t>
      </w:r>
      <w:r>
        <w:rPr>
          <w:b/>
          <w:sz w:val="22"/>
        </w:rPr>
        <w:t>apex body for 16,284 cooperatives with RM165.8 billion in assets</w:t>
      </w:r>
      <w:r>
        <w:rPr>
          <w:sz w:val="22"/>
        </w:rPr>
        <w:t xml:space="preserve"> makes it an ideal incubator for a </w:t>
      </w:r>
      <w:r>
        <w:rPr>
          <w:b/>
          <w:sz w:val="22"/>
        </w:rPr>
        <w:t>cooperative-owned technology platform</w:t>
      </w:r>
      <w:r>
        <w:rPr>
          <w:sz w:val="22"/>
        </w:rPr>
        <w:t xml:space="preserve"> that could serve the entire movement — at a fraction of proprietary costs.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Part 1: The FUD That Should Concern You</w:t>
      </w:r>
    </w:p>
    <w:p>
      <w:pPr>
        <w:pStyle w:val="Heading2"/>
        <w:rPr/>
      </w:pPr>
      <w:r>
        <w:rPr/>
        <w:t>1.1 Your ERP RFP May Already Be Outdated</w:t>
      </w:r>
    </w:p>
    <w:p>
      <w:pPr>
        <w:pStyle w:val="Normal"/>
        <w:rPr/>
      </w:pPr>
      <w:r>
        <w:rPr/>
        <w:t>If ANGKASA is evaluating enterprise systems using a traditional RFP framework — comparing SAP, Oracle, and Microsoft on features, pricing, and implementation timelines — the evaluation criteria themselves may be obsolete within 18 months.</w:t>
      </w:r>
    </w:p>
    <w:p>
      <w:pPr>
        <w:pStyle w:val="Normal"/>
        <w:rPr/>
      </w:pPr>
      <w:r>
        <w:rPr>
          <w:b/>
          <w:sz w:val="22"/>
        </w:rPr>
        <w:t>Why?</w:t>
      </w:r>
      <w:r>
        <w:rPr>
          <w:sz w:val="22"/>
        </w:rPr>
        <w:t xml:space="preserve"> Because the ERP market is undergoing its most significant disruption in 35 years:</w:t>
      </w:r>
    </w:p>
    <w:p>
      <w:pPr>
        <w:pStyle w:val="Normal"/>
        <w:ind w:left="850"/>
        <w:rPr/>
      </w:pPr>
      <w:r>
        <w:rPr>
          <w:i/>
          <w:color w:val="555555"/>
          <w:sz w:val="21"/>
        </w:rPr>
        <w:t>“</w:t>
      </w:r>
      <w:r>
        <w:rPr>
          <w:i/>
          <w:color w:val="555555"/>
          <w:sz w:val="21"/>
        </w:rPr>
        <w:t>Through 2027, GenAI and AI agent use will create the first true challenge to mainstream productivity tools in 35 years, prompting a $58 billion market shake-up.”</w:t>
        <w:br/>
        <w:t>— Gartner, 2025</w:t>
      </w:r>
    </w:p>
    <w:p>
      <w:pPr>
        <w:pStyle w:val="Normal"/>
        <w:rPr/>
      </w:pPr>
      <w:r>
        <w:rPr>
          <w:b/>
          <w:sz w:val="22"/>
        </w:rPr>
        <w:t>Key data points your RFP evaluation may not have considered:</w:t>
      </w:r>
    </w:p>
    <w:tbl>
      <w:tblPr>
        <w:tblStyle w:val="LightGrid-Accent1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Indicator</w:t>
            </w:r>
          </w:p>
        </w:tc>
        <w:tc>
          <w:tcPr>
            <w:tcW w:w="23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2024</w:t>
            </w:r>
          </w:p>
        </w:tc>
        <w:tc>
          <w:tcPr>
            <w:tcW w:w="23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2026 (Now)</w:t>
            </w:r>
          </w:p>
        </w:tc>
        <w:tc>
          <w:tcPr>
            <w:tcW w:w="23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2027 Projection</w:t>
            </w:r>
          </w:p>
        </w:tc>
      </w:tr>
      <w:tr>
        <w:trPr/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Enterprise apps with AI agents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&lt;5%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~20%</w:t>
            </w:r>
          </w:p>
        </w:tc>
        <w:tc>
          <w:tcPr>
            <w:tcW w:w="23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40%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 (Gartner)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ERP spending including AI capabilities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14%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~35%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62%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 (Gartner)</w:t>
            </w:r>
          </w:p>
        </w:tc>
      </w:tr>
      <w:tr>
        <w:trPr/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AI-native ERP startups funded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Emerging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DualEntry ($90M), others</w:t>
            </w:r>
          </w:p>
        </w:tc>
        <w:tc>
          <w:tcPr>
            <w:tcW w:w="23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$270B AI software market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SAP ECC end of support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Active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22 months left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Dec 31, 2027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2"/>
        </w:rPr>
        <w:t>The risk:</w:t>
      </w:r>
      <w:r>
        <w:rPr>
          <w:sz w:val="22"/>
        </w:rPr>
        <w:t xml:space="preserve"> Selecting a vendor today based on 2024-era criteria means you are buying a system designed for </w:t>
      </w:r>
      <w:r>
        <w:rPr>
          <w:b/>
          <w:sz w:val="22"/>
        </w:rPr>
        <w:t>the era that is ending</w:t>
      </w:r>
      <w:r>
        <w:rPr>
          <w:sz w:val="22"/>
        </w:rPr>
        <w:t>, not the one beginning.</w:t>
      </w:r>
    </w:p>
    <w:p>
      <w:pPr>
        <w:pStyle w:val="Heading2"/>
        <w:rPr/>
      </w:pPr>
      <w:r>
        <w:rPr/>
        <w:t>1.2 The SAP 2027 Cliff</w:t>
      </w:r>
    </w:p>
    <w:p>
      <w:pPr>
        <w:pStyle w:val="Normal"/>
        <w:rPr/>
      </w:pPr>
      <w:r>
        <w:rPr>
          <w:sz w:val="22"/>
        </w:rPr>
        <w:t xml:space="preserve">SAP has set a hard deadline: </w:t>
      </w:r>
      <w:r>
        <w:rPr>
          <w:b/>
          <w:sz w:val="22"/>
        </w:rPr>
        <w:t>mainstream ECC support ends December 31, 2027</w:t>
      </w:r>
      <w:r>
        <w:rPr>
          <w:sz w:val="22"/>
        </w:rPr>
        <w:t xml:space="preserve">. Extended maintenance (to 2030) costs a </w:t>
      </w:r>
      <w:r>
        <w:rPr>
          <w:b/>
          <w:sz w:val="22"/>
        </w:rPr>
        <w:t>2% premium</w:t>
      </w:r>
      <w:r>
        <w:rPr>
          <w:sz w:val="22"/>
        </w:rPr>
        <w:t xml:space="preserve"> on top of the existing 22% maintenance fee. Organizations that wait face </w:t>
      </w:r>
      <w:r>
        <w:rPr>
          <w:b/>
          <w:sz w:val="22"/>
        </w:rPr>
        <w:t>30-50% higher consulting rates</w:t>
      </w:r>
      <w:r>
        <w:rPr>
          <w:sz w:val="22"/>
        </w:rPr>
        <w:t xml:space="preserve"> due to the global migration demand surge.</w:t>
      </w:r>
    </w:p>
    <w:p>
      <w:pPr>
        <w:pStyle w:val="Normal"/>
        <w:rPr/>
      </w:pPr>
      <w:r>
        <w:rPr>
          <w:b/>
          <w:sz w:val="22"/>
        </w:rPr>
        <w:t>What this means for ANGKASA:</w:t>
      </w:r>
      <w:r>
        <w:rPr>
          <w:sz w:val="22"/>
        </w:rPr>
        <w:t xml:space="preserve"> Any vendor proposing SAP is proposing a system whose predecessor is being forcibly retired. The migration track record is sobering: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32% of companies</w:t>
      </w:r>
      <w:r>
        <w:rPr>
          <w:sz w:val="22"/>
        </w:rPr>
        <w:t xml:space="preserve"> migrating to S/4HANA have </w:t>
      </w:r>
      <w:r>
        <w:rPr>
          <w:b/>
          <w:sz w:val="22"/>
        </w:rPr>
        <w:t>underestimated total cost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Typical migration: </w:t>
      </w:r>
      <w:r>
        <w:rPr>
          <w:b/>
          <w:sz w:val="22"/>
        </w:rPr>
        <w:t>12-24 months</w:t>
      </w:r>
      <w:r>
        <w:rPr>
          <w:sz w:val="22"/>
        </w:rPr>
        <w:t>, often extending beyond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Organizations on unsupported ECC face </w:t>
      </w:r>
      <w:r>
        <w:rPr>
          <w:b/>
          <w:sz w:val="22"/>
        </w:rPr>
        <w:t>40-60% higher total cost of ownership</w:t>
      </w:r>
    </w:p>
    <w:p>
      <w:pPr>
        <w:pStyle w:val="Heading2"/>
        <w:rPr/>
      </w:pPr>
      <w:r>
        <w:rPr/>
        <w:t>1.3 Oracle and Microsoft Are Raising Prices</w:t>
      </w:r>
    </w:p>
    <w:p>
      <w:pPr>
        <w:pStyle w:val="Normal"/>
        <w:rPr/>
      </w:pPr>
      <w:r>
        <w:rPr/>
        <w:t>The proprietary ERP vendors are coordinating price increases while bundling AI features that may or may not deliver value:</w:t>
      </w:r>
    </w:p>
    <w:tbl>
      <w:tblPr>
        <w:tblStyle w:val="LightGrid-Accent1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Vendor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Current Pricing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Recent Changes</w:t>
            </w:r>
          </w:p>
        </w:tc>
      </w:tr>
      <w:tr>
        <w:trPr/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Oracle Fusion Cloud ERP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RM33,000/user/year ($7,500)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3-year minimum contract, minimum 25 users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SAP S/4HANA Cloud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RM31,000-66,000+/user/year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Forced migration from ECC by 2027</w:t>
            </w:r>
          </w:p>
        </w:tc>
      </w:tr>
      <w:tr>
        <w:trPr/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Microsoft Dynamics 365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RM9,500-20,600/user/year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First price increase in 5 years (Nov 2025); M365 suite +8-23% effective (Jul 2026)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2"/>
        </w:rPr>
        <w:t>At Oracle pricing, 100 ANGKASA staff = RM3.3 million/year in license fees alone. At SAP pricing, the same could exceed RM6.6 million/year.</w:t>
      </w:r>
    </w:p>
    <w:p>
      <w:pPr>
        <w:pStyle w:val="Normal"/>
        <w:rPr/>
      </w:pPr>
      <w:r>
        <w:rPr/>
        <w:t>This is before implementation, customisation, training, and ongoing support.</w:t>
      </w:r>
    </w:p>
    <w:p>
      <w:pPr>
        <w:pStyle w:val="Heading2"/>
        <w:rPr/>
      </w:pPr>
      <w:r>
        <w:rPr/>
        <w:t>1.4 The AI-Native Disruption Is Real</w:t>
      </w:r>
    </w:p>
    <w:p>
      <w:pPr>
        <w:pStyle w:val="Normal"/>
        <w:rPr/>
      </w:pPr>
      <w:r>
        <w:rPr>
          <w:sz w:val="22"/>
        </w:rPr>
        <w:t xml:space="preserve">In October 2025, a startup called </w:t>
      </w:r>
      <w:r>
        <w:rPr>
          <w:b/>
          <w:sz w:val="22"/>
        </w:rPr>
        <w:t>DualEntry</w:t>
      </w:r>
      <w:r>
        <w:rPr>
          <w:sz w:val="22"/>
        </w:rPr>
        <w:t xml:space="preserve"> emerged from stealth with </w:t>
      </w:r>
      <w:r>
        <w:rPr>
          <w:b/>
          <w:sz w:val="22"/>
        </w:rPr>
        <w:t>$90 million</w:t>
      </w:r>
      <w:r>
        <w:rPr>
          <w:sz w:val="22"/>
        </w:rPr>
        <w:t xml:space="preserve"> in funding (Lightspeed, Khosla Ventures, Google Ventures) and a provocative claim: they can migrate organisations off legacy ERP systems </w:t>
      </w:r>
      <w:r>
        <w:rPr>
          <w:b/>
          <w:sz w:val="22"/>
        </w:rPr>
        <w:t>in 24 hours</w:t>
      </w:r>
      <w:r>
        <w:rPr>
          <w:sz w:val="22"/>
        </w:rPr>
        <w:t>.</w:t>
      </w:r>
    </w:p>
    <w:p>
      <w:pPr>
        <w:pStyle w:val="Normal"/>
        <w:rPr/>
      </w:pPr>
      <w:r>
        <w:rPr>
          <w:sz w:val="22"/>
        </w:rPr>
        <w:t xml:space="preserve">Their investor thesis was published under the title: </w:t>
      </w:r>
      <w:r>
        <w:rPr>
          <w:b/>
          <w:sz w:val="22"/>
        </w:rPr>
        <w:t>"The Death of the Legacy ERP"</w:t>
      </w:r>
      <w:r>
        <w:rPr>
          <w:sz w:val="22"/>
        </w:rPr>
        <w:t>.</w:t>
      </w:r>
    </w:p>
    <w:p>
      <w:pPr>
        <w:pStyle w:val="Normal"/>
        <w:rPr/>
      </w:pPr>
      <w:r>
        <w:rPr/>
        <w:t>Key claims: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First ERP built from the ground up with AI (not AI bolted onto legacy code)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Already processed </w:t>
      </w:r>
      <w:r>
        <w:rPr>
          <w:b/>
          <w:sz w:val="22"/>
        </w:rPr>
        <w:t>$100 billion</w:t>
      </w:r>
      <w:r>
        <w:rPr>
          <w:sz w:val="22"/>
        </w:rPr>
        <w:t xml:space="preserve"> in journal entries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Signed </w:t>
      </w:r>
      <w:r>
        <w:rPr>
          <w:b/>
          <w:sz w:val="22"/>
        </w:rPr>
        <w:t>thousands</w:t>
      </w:r>
      <w:r>
        <w:rPr>
          <w:sz w:val="22"/>
        </w:rPr>
        <w:t xml:space="preserve"> of global users in months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Valued at </w:t>
      </w:r>
      <w:r>
        <w:rPr>
          <w:b/>
          <w:sz w:val="22"/>
        </w:rPr>
        <w:t>$415 million</w:t>
      </w:r>
      <w:r>
        <w:rPr>
          <w:sz w:val="22"/>
        </w:rPr>
        <w:t xml:space="preserve"> in 15 months</w:t>
      </w:r>
    </w:p>
    <w:p>
      <w:pPr>
        <w:pStyle w:val="Normal"/>
        <w:rPr/>
      </w:pPr>
      <w:r>
        <w:rPr>
          <w:b/>
          <w:sz w:val="22"/>
        </w:rPr>
        <w:t>Whether DualEntry succeeds is not the point.</w:t>
      </w:r>
      <w:r>
        <w:rPr>
          <w:sz w:val="22"/>
        </w:rPr>
        <w:t xml:space="preserve"> The point is that </w:t>
      </w:r>
      <w:r>
        <w:rPr>
          <w:b/>
          <w:sz w:val="22"/>
        </w:rPr>
        <w:t>$100M+ in venture capital is betting that legacy ERP can be replaced by AI-native alternatives</w:t>
      </w:r>
      <w:r>
        <w:rPr>
          <w:sz w:val="22"/>
        </w:rPr>
        <w:t>. This is a structural market shift, not a trend.</w:t>
      </w:r>
    </w:p>
    <w:p>
      <w:pPr>
        <w:pStyle w:val="Heading2"/>
        <w:rPr/>
      </w:pPr>
      <w:r>
        <w:rPr/>
      </w:r>
      <w:r>
        <w:br w:type="page"/>
      </w:r>
    </w:p>
    <w:p>
      <w:pPr>
        <w:pStyle w:val="Heading2"/>
        <w:rPr/>
      </w:pPr>
      <w:r>
        <w:rPr/>
        <w:t>1.5 Forrester’s Warning on Vendor Lock-In</w:t>
      </w:r>
    </w:p>
    <w:p>
      <w:pPr>
        <w:pStyle w:val="Normal"/>
        <w:rPr/>
      </w:pPr>
      <w:r>
        <w:rPr/>
        <w:t>Forrester’s 2026 enterprise software predictions contain a specific warning:</w:t>
      </w:r>
    </w:p>
    <w:p>
      <w:pPr>
        <w:pStyle w:val="Normal"/>
        <w:ind w:left="850"/>
        <w:rPr/>
      </w:pPr>
      <w:r>
        <w:rPr>
          <w:i/>
          <w:color w:val="555555"/>
          <w:sz w:val="21"/>
        </w:rPr>
        <w:t>“</w:t>
      </w:r>
      <w:r>
        <w:rPr>
          <w:i/>
          <w:color w:val="555555"/>
          <w:sz w:val="21"/>
        </w:rPr>
        <w:t>Consolidating to a primary platform concentrates risk and neuters negotiation leverage, making the next major software decision a bet on a single vendor’s security posture, pricing model, and innovation capacity for the next decade.”</w:t>
      </w:r>
    </w:p>
    <w:p>
      <w:pPr>
        <w:pStyle w:val="Normal"/>
        <w:ind w:left="850"/>
        <w:rPr/>
      </w:pPr>
      <w:r>
        <w:rPr>
          <w:i/>
          <w:color w:val="555555"/>
          <w:sz w:val="21"/>
        </w:rPr>
        <w:t>“</w:t>
      </w:r>
      <w:r>
        <w:rPr>
          <w:i/>
          <w:color w:val="555555"/>
          <w:sz w:val="21"/>
        </w:rPr>
        <w:t>Vendors are using AI to drive new revenue streams while tightening control... The era of experimentation is over. The era of monetisation has begun.”</w:t>
      </w:r>
    </w:p>
    <w:p>
      <w:pPr>
        <w:pStyle w:val="Normal"/>
        <w:rPr/>
      </w:pPr>
      <w:r>
        <w:rPr>
          <w:b/>
          <w:sz w:val="22"/>
        </w:rPr>
        <w:t>Translation:</w:t>
      </w:r>
      <w:r>
        <w:rPr>
          <w:sz w:val="22"/>
        </w:rPr>
        <w:t xml:space="preserve"> The vendors offering AI features are using them as a justification to raise prices and deepen lock-in. An RFP that selects a proprietary vendor today is not just buying software — it is accepting a decade of pricing decisions made by that vendor.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Part 2: The Strategic Position</w:t>
      </w:r>
    </w:p>
    <w:p>
      <w:pPr>
        <w:pStyle w:val="Heading2"/>
        <w:rPr/>
      </w:pPr>
      <w:r>
        <w:rPr/>
        <w:t>2.1 ERP Vendor Landscape — Cost vs AI Readiness</w:t>
      </w:r>
    </w:p>
    <w:p>
      <w:pPr>
        <w:pStyle w:val="Normal"/>
        <w:rPr/>
      </w:pPr>
      <w:r>
        <w:rPr/>
        <w:t>The following matrix positions major ERP options on two axes that matter for ANGKASA’s decision: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17"/>
            <w:tcBorders>
              <w:top w:val="single" w:sz="0" w:space="0" w:color="FFFFFF"/>
              <w:bottom w:val="single" w:sz="0" w:space="0" w:color="FFFFFF"/>
              <w:start w:val="single" w:sz="0" w:space="0" w:color="FFFFFF"/>
              <w:end w:val="single" w:sz="4" w:space="0" w:color="999999"/>
            </w:tcBorders>
          </w:tcPr>
          <w:p>
            <w:r/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b/>
                <w:color w:val="666666"/>
                <w:sz w:val="18"/>
              </w:rPr>
              <w:t>HIGH COST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b/>
                <w:color w:val="666666"/>
                <w:sz w:val="18"/>
              </w:rPr>
              <w:t>LOW COST</w:t>
            </w:r>
          </w:p>
        </w:tc>
      </w:tr>
      <w:tr>
        <w:tc>
          <w:tcPr>
            <w:tcW w:type="dxa" w:w="1417"/>
            <w:vAlign w:val="center"/>
            <w:tcBorders>
              <w:top w:val="single" w:sz="0" w:space="0" w:color="FFFFFF"/>
              <w:bottom w:val="single" w:sz="0" w:space="0" w:color="FFFFFF"/>
              <w:start w:val="single" w:sz="0" w:space="0" w:color="FFFFFF"/>
              <w:end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666666"/>
                <w:sz w:val="16"/>
              </w:rPr>
              <w:t>HIGH</w:t>
              <w:br/>
              <w:t>AI</w:t>
              <w:br/>
              <w:t>READINESS</w:t>
            </w:r>
          </w:p>
        </w:tc>
        <w:tc>
          <w:tcPr>
            <w:tcW w:type="dxa" w:w="3685"/>
            <w:shd w:fill="FFF3E0"/>
            <w:vAlign w:val="center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sz w:val="18"/>
              </w:rPr>
              <w:t>SAP S/4HANA</w:t>
            </w:r>
            <w:r>
              <w:br/>
            </w:r>
            <w:r>
              <w:rPr>
                <w:rFonts w:ascii="Calibri" w:hAnsi="Calibri"/>
                <w:sz w:val="18"/>
              </w:rPr>
              <w:t>RM31-66K/user/year</w:t>
            </w:r>
            <w:r>
              <w:br/>
            </w:r>
            <w:r>
              <w:rPr>
                <w:rFonts w:ascii="Calibri" w:hAnsi="Calibri"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Oracle Fusion</w:t>
            </w:r>
            <w:r>
              <w:br/>
            </w:r>
            <w:r>
              <w:rPr>
                <w:rFonts w:ascii="Calibri" w:hAnsi="Calibri"/>
                <w:sz w:val="18"/>
              </w:rPr>
              <w:t>RM33K/user/year</w:t>
            </w:r>
            <w:r>
              <w:br/>
            </w:r>
            <w:r>
              <w:rPr>
                <w:rFonts w:ascii="Calibri" w:hAnsi="Calibri"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DualEntry (AI-native)</w:t>
            </w:r>
            <w:r>
              <w:br/>
            </w:r>
            <w:r>
              <w:rPr>
                <w:rFonts w:ascii="Calibri" w:hAnsi="Calibri"/>
                <w:sz w:val="18"/>
              </w:rPr>
              <w:t>(startup, unproven)</w:t>
            </w:r>
          </w:p>
        </w:tc>
        <w:tc>
          <w:tcPr>
            <w:tcW w:type="dxa" w:w="3685"/>
            <w:shd w:fill="E8F5E9"/>
            <w:vAlign w:val="center"/>
          </w:tcPr>
          <w:p>
            <w:pPr>
              <w:spacing w:before="120"/>
            </w:pPr>
            <w:r/>
            <w:r>
              <w:rPr>
                <w:b/>
                <w:color w:val="2E7D32"/>
                <w:sz w:val="22"/>
              </w:rPr>
              <w:t>OPPORTUNITY ZONE</w:t>
            </w:r>
            <w:r>
              <w:rPr>
                <w:b/>
                <w:sz w:val="18"/>
              </w:rPr>
              <w:br/>
              <w:br/>
              <w:t>Open Source + AI Layer</w:t>
            </w:r>
            <w:r>
              <w:rPr>
                <w:sz w:val="18"/>
              </w:rPr>
              <w:br/>
              <w:t>(iDempiere/ERPNext +</w:t>
              <w:br/>
              <w:t xml:space="preserve"> local AI integration)</w:t>
            </w:r>
          </w:p>
        </w:tc>
      </w:tr>
      <w:tr>
        <w:tc>
          <w:tcPr>
            <w:tcW w:type="dxa" w:w="1417"/>
            <w:vAlign w:val="center"/>
            <w:tcBorders>
              <w:top w:val="single" w:sz="0" w:space="0" w:color="FFFFFF"/>
              <w:bottom w:val="single" w:sz="0" w:space="0" w:color="FFFFFF"/>
              <w:start w:val="single" w:sz="0" w:space="0" w:color="FFFFFF"/>
              <w:end w:val="single" w:sz="4" w:space="0" w:color="999999"/>
            </w:tcBorders>
          </w:tcPr>
          <w:p>
            <w:pPr>
              <w:jc w:val="center"/>
            </w:pPr>
            <w:r/>
            <w:r>
              <w:rPr>
                <w:b/>
                <w:color w:val="666666"/>
                <w:sz w:val="16"/>
              </w:rPr>
              <w:t>LOW</w:t>
              <w:br/>
              <w:t>AI</w:t>
              <w:br/>
              <w:t>READINESS</w:t>
            </w:r>
          </w:p>
        </w:tc>
        <w:tc>
          <w:tcPr>
            <w:tcW w:type="dxa" w:w="3685"/>
            <w:shd w:fill="FFEBEE"/>
            <w:vAlign w:val="center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sz w:val="18"/>
              </w:rPr>
              <w:t>MS Dynamics</w:t>
            </w:r>
            <w:r>
              <w:br/>
            </w:r>
            <w:r>
              <w:rPr>
                <w:rFonts w:ascii="Calibri" w:hAnsi="Calibri"/>
                <w:sz w:val="18"/>
              </w:rPr>
              <w:t>RM10-21K/user/year</w:t>
            </w:r>
          </w:p>
        </w:tc>
        <w:tc>
          <w:tcPr>
            <w:tcW w:type="dxa" w:w="3685"/>
            <w:shd w:fill="F5F5F5"/>
            <w:vAlign w:val="center"/>
          </w:tcPr>
          <w:p>
            <w:pPr>
              <w:spacing w:before="80" w:after="80"/>
            </w:pPr>
            <w:r/>
            <w:r>
              <w:rPr>
                <w:rFonts w:ascii="Calibri" w:hAnsi="Calibri"/>
                <w:b/>
                <w:sz w:val="18"/>
              </w:rPr>
              <w:t>Odoo Enterprise</w:t>
            </w:r>
            <w:r>
              <w:br/>
            </w:r>
            <w:r>
              <w:rPr>
                <w:rFonts w:ascii="Calibri" w:hAnsi="Calibri"/>
                <w:sz w:val="18"/>
              </w:rPr>
              <w:t>RM1.3-2K/user/year</w:t>
            </w:r>
            <w:r>
              <w:br/>
            </w:r>
            <w:r>
              <w:rPr>
                <w:rFonts w:ascii="Calibri" w:hAnsi="Calibri"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ERPNext  &lt;RM50/user/year</w:t>
            </w:r>
            <w:r>
              <w:br/>
            </w:r>
            <w:r>
              <w:rPr>
                <w:rFonts w:ascii="Calibri" w:hAnsi="Calibri"/>
                <w:sz w:val="18"/>
              </w:rPr>
            </w:r>
            <w:r>
              <w:br/>
            </w:r>
            <w:r>
              <w:rPr>
                <w:rFonts w:ascii="Calibri" w:hAnsi="Calibri"/>
                <w:b/>
                <w:sz w:val="18"/>
              </w:rPr>
              <w:t>iDempiere  RM0 license</w:t>
            </w:r>
          </w:p>
        </w:tc>
      </w:tr>
      <w:tr>
        <w:tc>
          <w:tcPr>
            <w:tcW w:type="dxa" w:w="1417"/>
            <w:tcBorders>
              <w:top w:val="single" w:sz="0" w:space="0" w:color="FFFFFF"/>
              <w:bottom w:val="single" w:sz="0" w:space="0" w:color="FFFFFF"/>
              <w:start w:val="single" w:sz="0" w:space="0" w:color="FFFFFF"/>
              <w:end w:val="single" w:sz="4" w:space="0" w:color="999999"/>
            </w:tcBorders>
          </w:tcPr>
          <w:p>
            <w:r/>
          </w:p>
        </w:tc>
        <w:tc>
          <w:tcPr>
            <w:tcW w:type="dxa" w:w="7370"/>
            <w:gridSpan w:val="2"/>
          </w:tcPr>
          <w:p>
            <w:pPr>
              <w:jc w:val="center"/>
            </w:pPr>
            <w:r/>
            <w:r>
              <w:rPr>
                <w:i/>
                <w:color w:val="999999"/>
                <w:sz w:val="16"/>
              </w:rPr>
              <w:t>COST → decreasing →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2"/>
        </w:rPr>
        <w:t>Reading the matrix: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Top-left quadrant (High Cost, High AI):</w:t>
      </w:r>
      <w:r>
        <w:rPr>
          <w:sz w:val="22"/>
        </w:rPr>
        <w:t xml:space="preserve"> SAP and Oracle are investing heavily in AI, but at extreme cost. ANGKASA would pay RM3-7M/year for 100 users and still be locked into their roadmap.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Bottom-right quadrant (Low Cost, Low AI):</w:t>
      </w:r>
      <w:r>
        <w:rPr>
          <w:sz w:val="22"/>
        </w:rPr>
        <w:t xml:space="preserve"> Open source ERP (iDempiere, ERPNext) costs almost nothing in licensing but has no native AI today.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The Opportunity Zone (center-right):</w:t>
      </w:r>
      <w:r>
        <w:rPr>
          <w:sz w:val="22"/>
        </w:rPr>
        <w:t xml:space="preserve"> An open-source ERP base enhanced with a targeted AI layer — built or integrated locally — combines low cost with relevant AI capability. </w:t>
      </w:r>
      <w:r>
        <w:rPr>
          <w:b/>
          <w:sz w:val="22"/>
        </w:rPr>
        <w:t>This is where ANGKASA should position.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r>
        <w:rPr/>
        <w:t>2.2 Deployment Strategy — Implementation Risk vs Cooperative Fit</w:t>
      </w:r>
    </w:p>
    <w:p>
      <w:pPr>
        <w:pStyle w:val="Normal"/>
        <w:rPr/>
      </w:pPr>
      <w:r>
        <w:rPr/>
        <w:t>This matrix evaluates deployment approaches against the unique requirements of a **federated cooperative movement**:</w:t>
      </w:r>
    </w:p>
    <w:p>
      <w:pPr>
        <w:pStyle w:val="Normal"/>
        <w:ind w:left="567"/>
        <w:rPr/>
      </w:pPr>
      <w:r>
        <w:rPr>
          <w:rFonts w:ascii="Courier New" w:hAnsi="Courier New"/>
          <w:sz w:val="16"/>
        </w:rPr>
        <w:t xml:space="preserve">                    </w:t>
      </w:r>
      <w:r>
        <w:rPr>
          <w:rFonts w:ascii="Courier New" w:hAnsi="Courier New"/>
          <w:sz w:val="16"/>
        </w:rPr>
        <w:t>COOPERATIVE FIT</w:t>
        <w:br/>
        <w:t xml:space="preserve">                HIGH</w:t>
        <w:br/>
        <w:t xml:space="preserve">                      |</w:t>
        <w:br/>
        <w:t xml:space="preserve">                      |  Cooperative        iDempiere</w:t>
        <w:br/>
        <w:t xml:space="preserve">                      |  Tech Incubator   Shared Platform</w:t>
        <w:br/>
        <w:t xml:space="preserve">                      |  (ANGKASA-owned)  (OSGi modular)</w:t>
        <w:br/>
        <w:t xml:space="preserve">                      |</w:t>
        <w:br/>
        <w:t xml:space="preserve">                      |        ERPNext</w:t>
        <w:br/>
        <w:t xml:space="preserve">                      |        (shared instance)</w:t>
        <w:br/>
        <w:t xml:space="preserve">                      |</w:t>
        <w:br/>
        <w:t xml:space="preserve">                      |              Odoo Enterprise</w:t>
        <w:br/>
        <w:t xml:space="preserve">                      |</w:t>
        <w:br/>
        <w:t xml:space="preserve">                      |  DualEntry       MS Dynamics</w:t>
        <w:br/>
        <w:t xml:space="preserve">                      |  (fast but</w:t>
        <w:br/>
        <w:t xml:space="preserve">                      |    no coop        SAP/Oracle</w:t>
        <w:br/>
        <w:t xml:space="preserve">                      |    model)          (enterprise-only,</w:t>
        <w:br/>
        <w:t xml:space="preserve">                      |                      no federation)</w:t>
        <w:br/>
        <w:t xml:space="preserve">                      |</w:t>
        <w:br/>
        <w:t xml:space="preserve">                    LOW</w:t>
        <w:br/>
        <w:t xml:space="preserve">                      +----------------------------------&gt;</w:t>
        <w:br/>
        <w:t xml:space="preserve">                HIGH     IMPLEMENTATION      LOW</w:t>
        <w:br/>
        <w:t xml:space="preserve">                RISK            RISK              RISK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2"/>
        </w:rPr>
        <w:t>Reading the matrix: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Bottom-left (High Risk, Low Fit):</w:t>
      </w:r>
      <w:r>
        <w:rPr>
          <w:sz w:val="22"/>
        </w:rPr>
        <w:t xml:space="preserve"> SAP/Oracle are designed for single enterprises, not federated cooperative movements. Implementation risk is extreme (12-24 months, cost overruns).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Top-right (Low Risk, High Fit):</w:t>
      </w:r>
      <w:r>
        <w:rPr>
          <w:sz w:val="22"/>
        </w:rPr>
        <w:t xml:space="preserve"> A cooperative-owned technology incubator using open-source ERP scores highest. Proven in the credit union sector (Velera serves 4,000 credit unions; CU*Answers is cooperative-owned core processing).</w:t>
      </w:r>
    </w:p>
    <w:p>
      <w:pPr>
        <w:pStyle w:val="ListBullet"/>
        <w:numPr>
          <w:ilvl w:val="0"/>
          <w:numId w:val="1"/>
        </w:numPr>
        <w:rPr/>
      </w:pPr>
      <w:r>
        <w:rPr>
          <w:b/>
          <w:sz w:val="22"/>
        </w:rPr>
        <w:t>iDempiere</w:t>
      </w:r>
      <w:r>
        <w:rPr>
          <w:sz w:val="22"/>
        </w:rPr>
        <w:t xml:space="preserve"> sits in the best position for ANGKASA specifically: Java/OSGi modularity means each cooperative type can have custom plugins, it matches ANGKASA’s enterprise IT culture, and it has an active Malaysia community.</w:t>
      </w:r>
    </w:p>
    <w:p>
      <w:pPr>
        <w:pStyle w:val="Heading2"/>
        <w:rPr/>
      </w:pPr>
      <w:r>
        <w:rPr/>
        <w:br/>
      </w:r>
      <w:r>
        <w:br w:type="page"/>
      </w:r>
    </w:p>
    <w:p>
      <w:pPr>
        <w:pStyle w:val="Heading2"/>
        <w:rPr/>
      </w:pPr>
      <w:r>
        <w:rPr/>
        <w:t>2.3 The Cost Reality at ANGKASA’s Scale</w:t>
      </w:r>
    </w:p>
    <w:p>
      <w:pPr>
        <w:pStyle w:val="Normal"/>
        <w:rPr/>
      </w:pPr>
      <w:r>
        <w:rPr>
          <w:sz w:val="22"/>
        </w:rPr>
        <w:t xml:space="preserve">ANGKASA is not a single company. It is the technology backbone for </w:t>
      </w:r>
      <w:r>
        <w:rPr>
          <w:b/>
          <w:sz w:val="22"/>
        </w:rPr>
        <w:t>16,284 cooperatives</w:t>
      </w:r>
      <w:r>
        <w:rPr>
          <w:sz w:val="22"/>
        </w:rPr>
        <w:t xml:space="preserve"> and </w:t>
      </w:r>
      <w:r>
        <w:rPr>
          <w:b/>
          <w:sz w:val="22"/>
        </w:rPr>
        <w:t>7.22 million members</w:t>
      </w:r>
      <w:r>
        <w:rPr>
          <w:sz w:val="22"/>
        </w:rPr>
        <w:t>. At this scale, vendor pricing models produce staggering numbers:</w:t>
      </w:r>
    </w:p>
    <w:tbl>
      <w:tblPr>
        <w:tblStyle w:val="LightGrid-Accent1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Scenario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Annual License Cost (est.)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5-Year TCO (est.)</w:t>
            </w:r>
          </w:p>
        </w:tc>
      </w:tr>
      <w:tr>
        <w:trPr/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Oracle Fusion (500 core users)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RM16.5 million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RM82+ million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SAP S/4HANA Cloud (500 core users)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RM15-33 million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RM75-165+ million</w:t>
            </w:r>
          </w:p>
        </w:tc>
      </w:tr>
      <w:tr>
        <w:trPr/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Microsoft Dynamics 365 (500 core users)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RM4.8-10.3 million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RM24-52 million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Odoo Enterprise (500 users)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RM650K-1M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RM3.3-5 million</w:t>
            </w:r>
          </w:p>
        </w:tc>
      </w:tr>
      <w:tr>
        <w:trPr/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iDempiere (self-hosted, cooperative-owned)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RM0 license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Infrastructure + support only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ERPNext (self-hosted)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&lt;RM25K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Infrastructure + support only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2"/>
        </w:rPr>
        <w:t>The question is not "Can ANGKASA afford SAP?" The question is: "Can 16,284 cooperatives justify sending RM80-160 million to a foreign vendor over 5 years when cooperative-owned alternatives exist?"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Part 3: ANGKASA as Technology Incubator</w:t>
      </w:r>
    </w:p>
    <w:p>
      <w:pPr>
        <w:pStyle w:val="Heading2"/>
        <w:rPr/>
      </w:pPr>
      <w:r>
        <w:rPr/>
        <w:t>3.1 The Precedent: Credit Union Shared Services</w:t>
      </w:r>
    </w:p>
    <w:p>
      <w:pPr>
        <w:pStyle w:val="Normal"/>
        <w:rPr/>
      </w:pPr>
      <w:r>
        <w:rPr/>
        <w:t>The model already exists — not in theory, but in production at massive scale:</w:t>
      </w:r>
    </w:p>
    <w:tbl>
      <w:tblPr>
        <w:tblStyle w:val="LightGrid-Accent1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Organisation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Model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Scale</w:t>
            </w:r>
          </w:p>
        </w:tc>
      </w:tr>
      <w:tr>
        <w:trPr/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Velera</w:t>
            </w: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 xml:space="preserve"> (formerly PSCU/Co-op Solutions)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Cooperative-owned payments CUSO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4,000+ credit unions</w:t>
            </w: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 xml:space="preserve"> across North America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CU*Answers</w:t>
            </w: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 xml:space="preserve"> (CUaxis/CBX)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Cooperative-owned core data processing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Hundreds of credit unions</w:t>
            </w:r>
          </w:p>
        </w:tc>
      </w:tr>
      <w:tr>
        <w:trPr/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Co-op Shared Branch Network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Federated transaction network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5,000+ branches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2"/>
        </w:rPr>
        <w:t>These are cooperatives building technology platforms for cooperatives.</w:t>
      </w:r>
      <w:r>
        <w:rPr>
          <w:sz w:val="22"/>
        </w:rPr>
        <w:t xml:space="preserve"> The members own the platform. The costs are shared. The vendor lock-in is zero.</w:t>
      </w:r>
    </w:p>
    <w:p>
      <w:pPr>
        <w:pStyle w:val="Normal"/>
        <w:rPr/>
      </w:pPr>
      <w:r>
        <w:rPr>
          <w:sz w:val="22"/>
        </w:rPr>
        <w:t xml:space="preserve">ANGKASA already operates this way for salary deductions (SPGA). The question is: </w:t>
      </w:r>
      <w:r>
        <w:rPr>
          <w:b/>
          <w:sz w:val="22"/>
        </w:rPr>
        <w:t>why not extend the model to ERP?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0"/>
        <w:rPr/>
      </w:pPr>
      <w:r>
        <w:rPr/>
        <w:t>3.2 The ANGKASA Incubator Concept</w:t>
      </w:r>
    </w:p>
    <w:p>
      <w:pPr>
        <w:pStyle w:val="Normal"/>
        <w:ind w:left="567"/>
        <w:rPr/>
      </w:pPr>
      <w:r>
        <w:rPr>
          <w:rFonts w:ascii="Courier New" w:hAnsi="Courier New"/>
          <w:sz w:val="16"/>
        </w:rPr>
        <w:t>+-------------------------------------------------------------------+</w:t>
        <w:br/>
        <w:t>|                    ANGKASA TECHNOLOGY INCUBATOR                    |</w:t>
        <w:br/>
        <w:t>|                                                                   |</w:t>
        <w:br/>
        <w:t>|  +-------------------+  +-------------------+  +---------------+  |</w:t>
        <w:br/>
        <w:t>|  | Shared ERP        |  | AI Services       |  | Training &amp;    |  |</w:t>
        <w:br/>
        <w:t>|  | Platform          |  | Layer             |  | Certification |  |</w:t>
        <w:br/>
        <w:t>|  | (iDempiere/       |  | (Local LLM,       |  | (HRD Corp     |  |</w:t>
        <w:br/>
        <w:t>|  |  open source)     |  |  document AI,     |  |  claimable)   |  |</w:t>
        <w:br/>
        <w:t>|  |                   |  |  workflow agents)  |  |               |  |</w:t>
        <w:br/>
        <w:t>|  +-------------------+  +-------------------+  +---------------+  |</w:t>
        <w:br/>
        <w:t>|          |                       |                      |         |</w:t>
        <w:br/>
        <w:t>|  +---------------------------------------------------------------+ |</w:t>
        <w:br/>
        <w:t>|  |             ANGKASA Data Center (Tier-3 Certified)            | |</w:t>
        <w:br/>
        <w:t>|  +---------------------------------------------------------------+ |</w:t>
        <w:br/>
        <w:t>|          |                       |                      |         |</w:t>
        <w:br/>
        <w:t>|  +--------+--------+  +--------+--------+  +--------+------+    |</w:t>
        <w:br/>
        <w:t>|  | Housing Coops   |  | Credit Coops    |  | Agri Coops    |    |</w:t>
        <w:br/>
        <w:t>|  | (BIM Compiler   |  | (Financial      |  | (SRI paddy,   |    |</w:t>
        <w:br/>
        <w:t>|  |  + BOM/cost)    |  |  management)    |  |  supply chain) |    |</w:t>
        <w:br/>
        <w:t>|  +--------+--------+  +--------+--------+  +--------+------+    |</w:t>
        <w:br/>
        <w:t>|  | Transport Coops |  | Consumer Coops  |  | Mosque Coops  |    |</w:t>
        <w:br/>
        <w:t>|  | (Fleet/fuel     |  | (Retail/        |  | (Waqf asset   |    |</w:t>
        <w:br/>
        <w:t>|  |  management)    |  |  inventory)     |  |  management)  |    |</w:t>
        <w:br/>
        <w:t>|  +-----------------+  +-----------------+  +---------------+    |</w:t>
        <w:br/>
        <w:t>+-------------------------------------------------------------------+</w:t>
        <w:br/>
        <w:t xml:space="preserve">                              |</w:t>
        <w:br/>
        <w:t xml:space="preserve">                   16,284 cooperatives</w:t>
        <w:br/>
        <w:t xml:space="preserve">                   7.22 million members</w:t>
        <w:br/>
        <w:t xml:space="preserve">                   RM165.8 billion assets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3.3 Why iDempiere Fits ANGKASA</w:t>
      </w:r>
    </w:p>
    <w:tbl>
      <w:tblPr>
        <w:tblStyle w:val="LightGrid-Accent1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/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Requirement</w:t>
            </w:r>
          </w:p>
        </w:tc>
        <w:tc>
          <w:tcPr>
            <w:tcW w:w="467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iDempiere Capability</w:t>
            </w:r>
          </w:p>
        </w:tc>
      </w:tr>
      <w:tr>
        <w:trPr/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Java enterprise stack</w:t>
            </w:r>
          </w:p>
        </w:tc>
        <w:tc>
          <w:tcPr>
            <w:tcW w:w="46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Matches ANGKASA’s existing IT culture (enterprise-grade, not startup-grade)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OSGi modularity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Each cooperative type gets purpose-built plugins without forking the core</w:t>
            </w:r>
          </w:p>
        </w:tc>
      </w:tr>
      <w:tr>
        <w:trPr/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100% open source (GPLv2)</w:t>
            </w:r>
          </w:p>
        </w:tc>
        <w:tc>
          <w:tcPr>
            <w:tcW w:w="46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Zero license fees. ANGKASA owns the code. No vendor can raise prices.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Active Malaysia community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Redhuan D. Oon (author of Open Source ERP, Pearson Malaysia) is based in Putrajaya. Local expertise exists.</w:t>
            </w:r>
          </w:p>
        </w:tc>
      </w:tr>
      <w:tr>
        <w:trPr/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Manufacturing + Distribution</w:t>
            </w:r>
          </w:p>
        </w:tc>
        <w:tc>
          <w:tcPr>
            <w:tcW w:w="46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Modules for supply chain, warehousing, POS — relevant to diverse cooperative types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Multi-organisation architecture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Built-in support for multiple entities sharing one database — ideal for cooperative federation</w:t>
            </w:r>
          </w:p>
        </w:tc>
      </w:tr>
      <w:tr>
        <w:trPr/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20+ year track record</w:t>
            </w:r>
          </w:p>
        </w:tc>
        <w:tc>
          <w:tcPr>
            <w:tcW w:w="46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Descended from Compiere (2000) → ADempiere (2006) → iDempiere (2012). Battle-tested.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3.4 The AI Layer — Built, Not Bought</w:t>
      </w:r>
    </w:p>
    <w:p>
      <w:pPr>
        <w:pStyle w:val="Normal"/>
        <w:rPr/>
      </w:pPr>
      <w:r>
        <w:rPr>
          <w:sz w:val="22"/>
        </w:rPr>
        <w:t xml:space="preserve">Rather than buying AI from SAP or Oracle (at their prices, on their terms), ANGKASA could </w:t>
      </w:r>
      <w:r>
        <w:rPr>
          <w:b/>
          <w:sz w:val="22"/>
        </w:rPr>
        <w:t>build an AI capability layer on top of open-source ERP</w:t>
      </w:r>
      <w:r>
        <w:rPr>
          <w:sz w:val="22"/>
        </w:rPr>
        <w:t>:</w:t>
      </w:r>
    </w:p>
    <w:tbl>
      <w:tblPr>
        <w:tblStyle w:val="LightGrid-Accent1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AI Capability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Approach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Cooperative Use Case</w:t>
            </w:r>
          </w:p>
        </w:tc>
      </w:tr>
      <w:tr>
        <w:trPr/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Document processing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Local LLM (Ollama/vLLM) + OCR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Automate invoice/receipt processing for 16K cooperatives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Financial reporting agents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Agentic AI on structured ERP data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Monthly close, audit preparation, regulatory compliance</w:t>
            </w:r>
          </w:p>
        </w:tc>
      </w:tr>
      <w:tr>
        <w:trPr/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BIM + Cost estimation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BIM Intent Compiler (open source)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Housing cooperative design → BOM → cost estimate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Credit assessment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AI on SPeKAR + cooperative financial data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Enhance loan assessment for cooperative members</w:t>
            </w:r>
          </w:p>
        </w:tc>
      </w:tr>
      <w:tr>
        <w:trPr/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Workflow automation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AI agents replacing manual approval chains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Procurement, HR, membership management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2"/>
        </w:rPr>
        <w:t>This is the "Opportunity Zone" from the strategy matrix — open source ERP + locally-built AI, owned by the cooperative movement.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Part 4: The DaKoM 2030 Alignment</w:t>
      </w:r>
    </w:p>
    <w:p>
      <w:pPr>
        <w:pStyle w:val="Normal"/>
        <w:rPr/>
      </w:pPr>
      <w:r>
        <w:rPr>
          <w:sz w:val="22"/>
        </w:rPr>
        <w:t xml:space="preserve">Malaysia’s </w:t>
      </w:r>
      <w:r>
        <w:rPr>
          <w:b/>
          <w:sz w:val="22"/>
        </w:rPr>
        <w:t>Dasar Koperasi Malaysia (DaKoM) 2030</w:t>
      </w:r>
      <w:r>
        <w:rPr>
          <w:sz w:val="22"/>
        </w:rPr>
        <w:t xml:space="preserve"> targets: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Cooperative sector revenue of </w:t>
      </w:r>
      <w:r>
        <w:rPr>
          <w:b/>
          <w:sz w:val="22"/>
        </w:rPr>
        <w:t>RM73 billion</w:t>
      </w:r>
      <w:r>
        <w:rPr>
          <w:sz w:val="22"/>
        </w:rPr>
        <w:t xml:space="preserve"> by 2030 (from RM45.5 billion)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Active cooperative rate of </w:t>
      </w:r>
      <w:r>
        <w:rPr>
          <w:b/>
          <w:sz w:val="22"/>
        </w:rPr>
        <w:t>65%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 xml:space="preserve">Improvement in Cooperative Member Well-being Index (IndeKA) to </w:t>
      </w:r>
      <w:r>
        <w:rPr>
          <w:b/>
          <w:sz w:val="22"/>
        </w:rPr>
        <w:t>80</w:t>
      </w:r>
    </w:p>
    <w:p>
      <w:pPr>
        <w:pStyle w:val="Normal"/>
        <w:rPr/>
      </w:pPr>
      <w:r>
        <w:rPr/>
        <w:t>A technology incubator directly supports all three targets:</w:t>
      </w:r>
    </w:p>
    <w:tbl>
      <w:tblPr>
        <w:tblStyle w:val="LightGrid-Accent1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/>
        <w:tc>
          <w:tcPr>
            <w:tcW w:w="46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DaKoM Target</w:t>
            </w:r>
          </w:p>
        </w:tc>
        <w:tc>
          <w:tcPr>
            <w:tcW w:w="467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Technology Contribution</w:t>
            </w:r>
          </w:p>
        </w:tc>
      </w:tr>
      <w:tr>
        <w:trPr/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RM73B revenue</w:t>
            </w:r>
          </w:p>
        </w:tc>
        <w:tc>
          <w:tcPr>
            <w:tcW w:w="46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Shared ERP reduces operational costs, freeing capital for growth. AI automation improves productivity.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65% active rate</w:t>
            </w:r>
          </w:p>
        </w:tc>
        <w:tc>
          <w:tcPr>
            <w:tcW w:w="46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Low-cost shared platform makes digital tools accessible to small and inactive cooperatives currently priced out.</w:t>
            </w:r>
          </w:p>
        </w:tc>
      </w:tr>
      <w:tr>
        <w:trPr/>
        <w:tc>
          <w:tcPr>
            <w:tcW w:w="46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IndeKA score 80</w:t>
            </w:r>
          </w:p>
        </w:tc>
        <w:tc>
          <w:tcPr>
            <w:tcW w:w="467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Better financial management, faster loan processing, transparent reporting improve member well-being.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 xml:space="preserve">Budget 2026 allocated </w:t>
      </w:r>
      <w:r>
        <w:rPr>
          <w:b/>
          <w:sz w:val="22"/>
        </w:rPr>
        <w:t>RM50 million</w:t>
      </w:r>
      <w:r>
        <w:rPr>
          <w:sz w:val="22"/>
        </w:rPr>
        <w:t xml:space="preserve"> for cooperative development through SKM. A portion directed toward a cooperative technology incubator would have multiplied impact across all 16,284 cooperatives.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Part 5: Workshop Agenda</w:t>
      </w:r>
    </w:p>
    <w:p>
      <w:pPr>
        <w:pStyle w:val="Heading2"/>
        <w:rPr/>
      </w:pPr>
      <w:r>
        <w:rPr/>
        <w:t>Morning — Understanding the Threat</w:t>
      </w:r>
    </w:p>
    <w:tbl>
      <w:tblPr>
        <w:tblStyle w:val="LightGrid-Accent1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Time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Module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Content</w:t>
            </w:r>
          </w:p>
        </w:tc>
      </w:tr>
      <w:tr>
        <w:trPr/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09:00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Opening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Workshop objectives. Why this matters now.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09:15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Module 1: The AI Disruption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Gartner’s 40% AI agent prediction. DualEntry and the "Death of Legacy ERP" thesis. What "AI-native" means vs "AI-bolted-on". Demo: AI agent processing a cooperative financial report.</w:t>
            </w:r>
          </w:p>
        </w:tc>
      </w:tr>
      <w:tr>
        <w:trPr/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10:15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Break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10:30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Module 2: The Pricing Trap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SAP 2027 deadline. Oracle’s RM33K/user/year. Microsoft’s 23% effective increase. Forrester’s lock-in warning. Cost projections at ANGKASA’s scale. Interactive exercise: calculate your own 5-year TCO under three scenarios.</w:t>
            </w:r>
          </w:p>
        </w:tc>
      </w:tr>
      <w:tr>
        <w:trPr/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11:30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Module 3: Your Current Position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ANGKASA’s Unisys ClearPath — 30 years of service. SPGA system strengths and risks. Where the gaps are. Facilitated discussion: what keeps the IT team up at night?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12:30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Lunch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Afternoon — Seeing the Opportunity</w:t>
      </w:r>
    </w:p>
    <w:tbl>
      <w:tblPr>
        <w:tblStyle w:val="LightGrid-Accent1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Time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Module</w:t>
            </w:r>
          </w:p>
        </w:tc>
        <w:tc>
          <w:tcPr>
            <w:tcW w:w="31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Content</w:t>
            </w:r>
          </w:p>
        </w:tc>
      </w:tr>
      <w:tr>
        <w:trPr/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13:30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Module 4: The Open Source Alternative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iDempiere, ERPNext, Odoo — live comparison. Total cost of ownership at cooperative scale. Case study: Velera (4,000 credit unions on shared platform).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14:30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Module 5: ANGKASA as Incubator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The cooperative technology incubator model. Architecture walkthrough. How OSGi modularity serves 16,284 diverse cooperatives. DaKoM 2030 alignment. Interactive: mapping cooperative types to ERP modules.</w:t>
            </w:r>
          </w:p>
        </w:tc>
      </w:tr>
      <w:tr>
        <w:trPr/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15:30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Break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15:45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Module 6: The AI Layer You Can Own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Local AI deployment (not cloud-dependent). Document processing demo. BIM Compiler demo (housing cooperative use case). Financial reporting agent concept.</w:t>
            </w:r>
          </w:p>
        </w:tc>
      </w:tr>
      <w:tr>
        <w:trPr/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16:30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Module 7: Strategic Planning Exercise</w:t>
            </w:r>
          </w:p>
        </w:tc>
        <w:tc>
          <w:tcPr>
            <w:tcW w:w="31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9-Quadrant SWOT analysis (Prof. Wan Mohtar’s methodology). Teams draft a 90-day action plan. Presentation and critique.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17:15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0"/>
                <w:szCs w:val="22"/>
                <w:lang w:val="en-US" w:eastAsia="en-US" w:bidi="ar-SA"/>
              </w:rPr>
              <w:t>Closing</w:t>
            </w:r>
          </w:p>
        </w:tc>
        <w:tc>
          <w:tcPr>
            <w:tcW w:w="31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Summary of key decisions. Next steps. Commitment to action.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Part 6: Recommended Next Steps for ANGKASA</w:t>
      </w:r>
    </w:p>
    <w:tbl>
      <w:tblPr>
        <w:tblStyle w:val="LightGrid-Accent1"/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23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Action</w:t>
            </w:r>
          </w:p>
        </w:tc>
        <w:tc>
          <w:tcPr>
            <w:tcW w:w="23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Timeline</w:t>
            </w:r>
          </w:p>
        </w:tc>
        <w:tc>
          <w:tcPr>
            <w:tcW w:w="23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Owner</w:t>
            </w:r>
          </w:p>
        </w:tc>
      </w:tr>
      <w:tr>
        <w:trPr/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Pause or reframe any active ERP RFP to include AI-readiness and cooperative-fit criteria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Immediate</w:t>
            </w:r>
          </w:p>
        </w:tc>
        <w:tc>
          <w:tcPr>
            <w:tcW w:w="23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IT Division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Commission a formal TCO comparison: proprietary vs open-source at ANGKASA scale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30 days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IT Division + Nusa</w:t>
            </w:r>
          </w:p>
        </w:tc>
      </w:tr>
      <w:tr>
        <w:trPr/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Pilot iDempiere with one cooperative type (e.g., credit cooperative) as proof of concept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90 days</w:t>
            </w:r>
          </w:p>
        </w:tc>
        <w:tc>
          <w:tcPr>
            <w:tcW w:w="23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IT Division + Redhuan D. Oon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Establish a Technology Incubator steering committee with representation from diverse cooperative types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60 days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Prof. Wan Mohtar + ANGKASA board</w:t>
            </w:r>
          </w:p>
        </w:tc>
      </w:tr>
      <w:tr>
        <w:trPr/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Present incubator concept to SKM for alignment with DaKoM 2030 and Budget 2026 allocation</w:t>
            </w:r>
          </w:p>
        </w:tc>
        <w:tc>
          <w:tcPr>
            <w:tcW w:w="23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Q3 2026</w:t>
            </w:r>
          </w:p>
        </w:tc>
        <w:tc>
          <w:tcPr>
            <w:tcW w:w="23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Prof. Wan Mohtar + ANGKASA CEO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Develop HRDC-claimable training curriculum for cooperative digital readiness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Q3 2026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Nusa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References</w:t>
      </w:r>
    </w:p>
    <w:p>
      <w:pPr>
        <w:pStyle w:val="Normal"/>
        <w:rPr/>
      </w:pPr>
      <w:r>
        <w:rPr>
          <w:b/>
          <w:sz w:val="20"/>
        </w:rPr>
        <w:t xml:space="preserve">1. </w:t>
      </w:r>
      <w:r>
        <w:rPr>
          <w:sz w:val="20"/>
        </w:rPr>
        <w:t>Gartner. "40% of Enterprise Apps Will Feature Task-Specific AI Agents by 2026." August 2025. gartner.com</w:t>
      </w:r>
    </w:p>
    <w:p>
      <w:pPr>
        <w:pStyle w:val="Normal"/>
        <w:rPr/>
      </w:pPr>
      <w:r>
        <w:rPr>
          <w:b/>
          <w:sz w:val="20"/>
        </w:rPr>
        <w:t xml:space="preserve">2. </w:t>
      </w:r>
      <w:r>
        <w:rPr>
          <w:sz w:val="20"/>
        </w:rPr>
        <w:t>Gartner. "Strategic Predictions for 2026: How AI's Underestimated Influence Is Reshaping Business." gartner.com</w:t>
      </w:r>
    </w:p>
    <w:p>
      <w:pPr>
        <w:pStyle w:val="Normal"/>
        <w:rPr/>
      </w:pPr>
      <w:r>
        <w:rPr>
          <w:b/>
          <w:sz w:val="20"/>
        </w:rPr>
        <w:t xml:space="preserve">3. </w:t>
      </w:r>
      <w:r>
        <w:rPr>
          <w:sz w:val="20"/>
        </w:rPr>
        <w:t>Forrester. "Predictions 2026: AI Agents Impact Enterprise Software." forrester.com</w:t>
      </w:r>
    </w:p>
    <w:p>
      <w:pPr>
        <w:pStyle w:val="Normal"/>
        <w:rPr/>
      </w:pPr>
      <w:r>
        <w:rPr>
          <w:b/>
          <w:sz w:val="20"/>
        </w:rPr>
        <w:t xml:space="preserve">4. </w:t>
      </w:r>
      <w:r>
        <w:rPr>
          <w:sz w:val="20"/>
        </w:rPr>
        <w:t>Forrester. "AI means bigger margins and lock-in for enterprise software vendors." The Register. theregister.com</w:t>
      </w:r>
    </w:p>
    <w:p>
      <w:pPr>
        <w:pStyle w:val="Normal"/>
        <w:rPr/>
      </w:pPr>
      <w:r>
        <w:rPr>
          <w:b/>
          <w:sz w:val="20"/>
        </w:rPr>
        <w:t xml:space="preserve">5. </w:t>
      </w:r>
      <w:r>
        <w:rPr>
          <w:sz w:val="20"/>
        </w:rPr>
        <w:t>Lightspeed Venture Partners. "The Death of the Legacy ERP: Why We Led DualEntry's Series A." lsvp.com</w:t>
      </w:r>
    </w:p>
    <w:p>
      <w:pPr>
        <w:pStyle w:val="Normal"/>
        <w:rPr/>
      </w:pPr>
      <w:r>
        <w:rPr>
          <w:b/>
          <w:sz w:val="20"/>
        </w:rPr>
        <w:t xml:space="preserve">6. </w:t>
      </w:r>
      <w:r>
        <w:rPr>
          <w:sz w:val="20"/>
        </w:rPr>
        <w:t>DualEntry. "$90M Series A Funding Announcement." dualentry.com</w:t>
      </w:r>
    </w:p>
    <w:p>
      <w:pPr>
        <w:pStyle w:val="Normal"/>
        <w:rPr/>
      </w:pPr>
      <w:r>
        <w:rPr>
          <w:b/>
          <w:sz w:val="20"/>
        </w:rPr>
        <w:t xml:space="preserve">7. </w:t>
      </w:r>
      <w:r>
        <w:rPr>
          <w:sz w:val="20"/>
        </w:rPr>
        <w:t>Sapphire Ventures. "2026 Outlook: 10 AI Predictions." sapphireventures.com</w:t>
      </w:r>
    </w:p>
    <w:p>
      <w:pPr>
        <w:pStyle w:val="Normal"/>
        <w:rPr/>
      </w:pPr>
      <w:r>
        <w:rPr>
          <w:b/>
          <w:sz w:val="20"/>
        </w:rPr>
        <w:t xml:space="preserve">8. </w:t>
      </w:r>
      <w:r>
        <w:rPr>
          <w:sz w:val="20"/>
        </w:rPr>
        <w:t>Foundation Capital. "Where AI is headed in 2026." foundationcapital.com</w:t>
      </w:r>
    </w:p>
    <w:p>
      <w:pPr>
        <w:pStyle w:val="Normal"/>
        <w:rPr/>
      </w:pPr>
      <w:r>
        <w:rPr>
          <w:b/>
          <w:sz w:val="20"/>
        </w:rPr>
        <w:t xml:space="preserve">9. </w:t>
      </w:r>
      <w:r>
        <w:rPr>
          <w:sz w:val="20"/>
        </w:rPr>
        <w:t>Kellton. "SAP ECC to S/4HANA Migration: 2027 Deadline Guide." kellton.com</w:t>
      </w:r>
    </w:p>
    <w:p>
      <w:pPr>
        <w:pStyle w:val="Normal"/>
        <w:rPr/>
      </w:pPr>
      <w:r>
        <w:rPr>
          <w:b/>
          <w:sz w:val="20"/>
        </w:rPr>
        <w:t xml:space="preserve">10. </w:t>
      </w:r>
      <w:r>
        <w:rPr>
          <w:sz w:val="20"/>
        </w:rPr>
        <w:t>Top10ERP. "Oracle Fusion Cloud ERP Pricing Guide 2026." top10erp.org</w:t>
      </w:r>
    </w:p>
    <w:p>
      <w:pPr>
        <w:pStyle w:val="Normal"/>
        <w:rPr/>
      </w:pPr>
      <w:r>
        <w:rPr>
          <w:b/>
          <w:sz w:val="20"/>
        </w:rPr>
        <w:t xml:space="preserve">11. </w:t>
      </w:r>
      <w:r>
        <w:rPr>
          <w:sz w:val="20"/>
        </w:rPr>
        <w:t>SAMExpert. "Microsoft 365 Price Increase July 2026." samexpert.com</w:t>
      </w:r>
    </w:p>
    <w:p>
      <w:pPr>
        <w:pStyle w:val="Normal"/>
        <w:rPr/>
      </w:pPr>
      <w:r>
        <w:rPr>
          <w:b/>
          <w:sz w:val="20"/>
        </w:rPr>
        <w:t xml:space="preserve">12. </w:t>
      </w:r>
      <w:r>
        <w:rPr>
          <w:sz w:val="20"/>
        </w:rPr>
        <w:t>Mordor Intelligence. "Open Source ERP Market — USD 2.85B (2025) to USD 4.60B (2030)." mordorintelligence.com</w:t>
      </w:r>
    </w:p>
    <w:p>
      <w:pPr>
        <w:pStyle w:val="Normal"/>
        <w:rPr/>
      </w:pPr>
      <w:r>
        <w:rPr>
          <w:b/>
          <w:sz w:val="20"/>
        </w:rPr>
        <w:t xml:space="preserve">13. </w:t>
      </w:r>
      <w:r>
        <w:rPr>
          <w:sz w:val="20"/>
        </w:rPr>
        <w:t>Unisys. "ANGKASA Selects Unisys Software to Enhance Client Experience." unisys.com</w:t>
      </w:r>
    </w:p>
    <w:p>
      <w:pPr>
        <w:pStyle w:val="Normal"/>
        <w:rPr/>
      </w:pPr>
      <w:r>
        <w:rPr>
          <w:b/>
          <w:sz w:val="20"/>
        </w:rPr>
        <w:t xml:space="preserve">14. </w:t>
      </w:r>
      <w:r>
        <w:rPr>
          <w:sz w:val="20"/>
        </w:rPr>
        <w:t>Unisys. "ANGKASA Renews Contract for Unisys ClearPath." prnewswire.com</w:t>
      </w:r>
    </w:p>
    <w:p>
      <w:pPr>
        <w:pStyle w:val="Normal"/>
        <w:rPr/>
      </w:pPr>
      <w:r>
        <w:rPr>
          <w:b/>
          <w:sz w:val="20"/>
        </w:rPr>
        <w:t xml:space="preserve">15. </w:t>
      </w:r>
      <w:r>
        <w:rPr>
          <w:sz w:val="20"/>
        </w:rPr>
        <w:t>The Star. "Over 16,000 cooperatives registered in Malaysia as of Dec 2024." thestar.com.my</w:t>
      </w:r>
    </w:p>
    <w:p>
      <w:pPr>
        <w:pStyle w:val="Normal"/>
        <w:rPr/>
      </w:pPr>
      <w:r>
        <w:rPr>
          <w:b/>
          <w:sz w:val="20"/>
        </w:rPr>
        <w:t xml:space="preserve">16. </w:t>
      </w:r>
      <w:r>
        <w:rPr>
          <w:sz w:val="20"/>
        </w:rPr>
        <w:t>BERNAMA. "53 Years On, Angkasa Maintains Successful Track Record." bernama.com</w:t>
      </w:r>
    </w:p>
    <w:p>
      <w:pPr>
        <w:pStyle w:val="Normal"/>
        <w:rPr/>
      </w:pPr>
      <w:r>
        <w:rPr>
          <w:b/>
          <w:sz w:val="20"/>
        </w:rPr>
        <w:t xml:space="preserve">17. </w:t>
      </w:r>
      <w:r>
        <w:rPr>
          <w:sz w:val="20"/>
        </w:rPr>
        <w:t>SKM. "National Co-operative Policy (DaKoM) 2030." skm.gov.my</w:t>
      </w:r>
    </w:p>
    <w:p>
      <w:pPr>
        <w:pStyle w:val="Normal"/>
        <w:rPr/>
      </w:pPr>
      <w:r>
        <w:rPr>
          <w:b/>
          <w:sz w:val="20"/>
        </w:rPr>
        <w:t xml:space="preserve">18. </w:t>
      </w:r>
      <w:r>
        <w:rPr>
          <w:sz w:val="20"/>
        </w:rPr>
        <w:t>The Star. "Budget 2026: Angkasa hails RM50mil support for cooperative development." thestar.com.my</w:t>
      </w:r>
    </w:p>
    <w:p>
      <w:pPr>
        <w:pStyle w:val="Normal"/>
        <w:rPr/>
      </w:pPr>
      <w:r>
        <w:rPr>
          <w:b/>
          <w:sz w:val="20"/>
        </w:rPr>
        <w:t xml:space="preserve">19. </w:t>
      </w:r>
      <w:r>
        <w:rPr>
          <w:sz w:val="20"/>
        </w:rPr>
        <w:t xml:space="preserve">Oon, Redhuan D. </w:t>
      </w:r>
      <w:r>
        <w:rPr>
          <w:i/>
          <w:sz w:val="20"/>
        </w:rPr>
        <w:t>Open Source ERP.</w:t>
      </w:r>
      <w:r>
        <w:rPr>
          <w:sz w:val="20"/>
        </w:rPr>
        <w:t xml:space="preserve"> Pearson Malaysia, 2010. ISBN 978-967-349-022-6.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/>
          <w:sz w:val="20"/>
        </w:rPr>
        <w:t xml:space="preserve">20. </w:t>
      </w:r>
      <w:r>
        <w:rPr>
          <w:sz w:val="20"/>
        </w:rPr>
        <w:t>iDempiere. "Community Powered Enterprise — Free Open Source ERP and CRM." idempiere.org</w:t>
      </w:r>
    </w:p>
    <w:sectPr>
      <w:footerReference w:type="default" r:id="rId2"/>
      <w:type w:val="nextPage"/>
      <w:pgSz w:w="12240" w:h="15840"/>
      <w:pgMar w:left="1440" w:right="1440" w:gutter="0" w:header="0" w:top="1440" w:footer="1440" w:bottom="202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Copyright NUSA 2026 </w:t>
      <w:tab/>
      <w:tab/>
    </w:r>
    <w:bookmarkStart w:id="0" w:name="PageNumWizard_FOOTER_Default_Page_Style7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  <w:r>
      <w:rPr/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16</w:t>
    </w:r>
    <w:r>
      <w:rPr/>
      <w:fldChar w:fldCharType="end"/>
    </w:r>
    <w:bookmarkEnd w:id="0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val="bestFit" w:percent="209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16</Pages>
  <Words>2584</Words>
  <Characters>14948</Characters>
  <CharactersWithSpaces>18803</CharactersWithSpaces>
  <Paragraphs>279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2026-02-18T03:57:15Z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