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2D2D2D"/>
          <w:sz w:val="48"/>
        </w:rPr>
        <w:t>1-Day IT Literacy Workshop</w:t>
        <w:br/>
        <w:t>for Petrol Station Operators</w:t>
      </w:r>
    </w:p>
    <w:p/>
    <w:p>
      <w:pPr>
        <w:jc w:val="center"/>
      </w:pPr>
      <w:r>
        <w:rPr>
          <w:b/>
          <w:color w:val="444444"/>
          <w:sz w:val="36"/>
        </w:rPr>
        <w:t>Understanding Your Numbers:</w:t>
        <w:br/>
        <w:t>SENTINEL, SETEL, E-Invoice,</w:t>
        <w:br/>
        <w:t>and Why Data Accuracy Matters</w:t>
      </w:r>
    </w:p>
    <w:p/>
    <w:p/>
    <w:p>
      <w:pPr>
        <w:jc w:val="center"/>
      </w:pPr>
      <w:r>
        <w:rPr>
          <w:b/>
          <w:sz w:val="22"/>
        </w:rPr>
        <w:t xml:space="preserve">Prepared for: </w:t>
      </w:r>
      <w:r>
        <w:rPr>
          <w:sz w:val="22"/>
        </w:rPr>
        <w:t>KOBB (Koperasi Pengusaha Stesen Minyak Bumiputera) Members</w:t>
      </w:r>
    </w:p>
    <w:p>
      <w:pPr>
        <w:jc w:val="center"/>
      </w:pPr>
      <w:r>
        <w:rPr>
          <w:b/>
          <w:sz w:val="22"/>
        </w:rPr>
        <w:t xml:space="preserve">Facilitated by: </w:t>
      </w:r>
      <w:r>
        <w:rPr>
          <w:sz w:val="22"/>
        </w:rPr>
        <w:t>Entruss Ventures Sdn. Bhd. (1186369-A)</w:t>
      </w:r>
    </w:p>
    <w:p>
      <w:pPr>
        <w:jc w:val="center"/>
      </w:pPr>
      <w:r>
        <w:rPr>
          <w:b/>
          <w:sz w:val="22"/>
        </w:rPr>
        <w:t xml:space="preserve">Workshop Lead: </w:t>
      </w:r>
      <w:r>
        <w:rPr>
          <w:sz w:val="22"/>
        </w:rPr>
        <w:t>Redhuan D. Oon — Subject Matter Expert, FOSS ERP &amp; AI</w:t>
      </w:r>
    </w:p>
    <w:p>
      <w:pPr>
        <w:jc w:val="center"/>
      </w:pPr>
      <w:r>
        <w:rPr>
          <w:b/>
          <w:sz w:val="22"/>
        </w:rPr>
        <w:t xml:space="preserve">Patron: </w:t>
      </w:r>
      <w:r>
        <w:rPr>
          <w:sz w:val="22"/>
        </w:rPr>
        <w:t>Prof. Dr. Hj. Wan Mohtar Wan Yusoff — Chairman, KOBB; EVSB Expert</w:t>
      </w:r>
    </w:p>
    <w:p>
      <w:pPr>
        <w:jc w:val="center"/>
      </w:pPr>
      <w:r>
        <w:rPr>
          <w:b/>
          <w:sz w:val="22"/>
        </w:rPr>
        <w:t xml:space="preserve">Classification: </w:t>
      </w:r>
      <w:r>
        <w:rPr>
          <w:sz w:val="22"/>
        </w:rPr>
        <w:t>HRDC-Claimable | 1-Day Programme (09:00–17:00)</w:t>
      </w:r>
    </w:p>
    <w:p>
      <w:pPr>
        <w:jc w:val="center"/>
      </w:pPr>
      <w:r>
        <w:rPr>
          <w:b/>
          <w:sz w:val="22"/>
        </w:rPr>
        <w:t xml:space="preserve">Date: </w:t>
      </w:r>
      <w:r>
        <w:rPr>
          <w:sz w:val="22"/>
        </w:rPr>
        <w:t>February 2026 (Draft)</w:t>
      </w:r>
    </w:p>
    <w:p>
      <w:r>
        <w:br w:type="page"/>
      </w:r>
    </w:p>
    <w:p>
      <w:pPr>
        <w:pStyle w:val="Heading1"/>
      </w:pPr>
      <w:r>
        <w:t>Why This Workshop Exists</w:t>
      </w:r>
    </w:p>
    <w:p>
      <w:r>
        <w:t>Since the rollout of Malaysia’s targeted fuel subsidy programme — diesel (June 2024) and RON95 BUDI95 (September 2025) — petrol station operators have been caught between multiple systems that do not talk to each other the way operators expect.</w:t>
      </w:r>
    </w:p>
    <w:p>
      <w:r>
        <w:rPr>
          <w:sz w:val="22"/>
        </w:rPr>
        <w:t xml:space="preserve">The result: </w:t>
      </w:r>
      <w:r>
        <w:rPr>
          <w:b/>
          <w:sz w:val="22"/>
        </w:rPr>
        <w:t>daily mismatches in sales figures, subsidy claims, and e-invoice records</w:t>
      </w:r>
      <w:r>
        <w:rPr>
          <w:sz w:val="22"/>
        </w:rPr>
        <w:t xml:space="preserve"> that operators cannot explain, cannot reconcile, and cannot resolve without understanding what is actually happening inside these systems.</w:t>
      </w:r>
    </w:p>
    <w:p>
      <w:r>
        <w:rPr>
          <w:sz w:val="22"/>
        </w:rPr>
        <w:t xml:space="preserve">This workshop </w:t>
      </w:r>
      <w:r>
        <w:rPr>
          <w:b/>
          <w:sz w:val="22"/>
        </w:rPr>
        <w:t>does not teach IT</w:t>
      </w:r>
      <w:r>
        <w:rPr>
          <w:sz w:val="22"/>
        </w:rPr>
        <w:t xml:space="preserve">. It teaches </w:t>
      </w:r>
      <w:r>
        <w:rPr>
          <w:b/>
          <w:sz w:val="22"/>
        </w:rPr>
        <w:t>principles</w:t>
      </w:r>
      <w:r>
        <w:rPr>
          <w:sz w:val="22"/>
        </w:rPr>
        <w:t xml:space="preserve"> — in plain language — so that operators can:</w:t>
      </w:r>
    </w:p>
    <w:p>
      <w:pPr>
        <w:pStyle w:val="ListBullet"/>
      </w:pPr>
      <w:r>
        <w:rPr>
          <w:sz w:val="22"/>
        </w:rPr>
        <w:t>Understand *why* their numbers don’t match</w:t>
      </w:r>
    </w:p>
    <w:p>
      <w:pPr>
        <w:pStyle w:val="ListBullet"/>
      </w:pPr>
      <w:r>
        <w:rPr>
          <w:sz w:val="22"/>
        </w:rPr>
        <w:t>Know *what to demand* from vendors and system providers</w:t>
      </w:r>
    </w:p>
    <w:p>
      <w:pPr>
        <w:pStyle w:val="ListBullet"/>
      </w:pPr>
      <w:r>
        <w:rPr>
          <w:sz w:val="22"/>
        </w:rPr>
        <w:t>Protect themselves from financial losses caused by data errors they did not create</w:t>
      </w:r>
    </w:p>
    <w:p>
      <w:r>
        <w:br w:type="page"/>
      </w:r>
    </w:p>
    <w:p>
      <w:pPr>
        <w:pStyle w:val="Heading1"/>
      </w:pPr>
      <w:r>
        <w:t>The Problem in Plain Language</w:t>
      </w:r>
    </w:p>
    <w:p>
      <w:pPr>
        <w:pStyle w:val="Heading2"/>
      </w:pPr>
      <w:r>
        <w:t>What Operators Experience Daily</w:t>
      </w:r>
    </w:p>
    <w:p>
      <w:pPr>
        <w:ind w:left="567"/>
      </w:pPr>
      <w:r>
        <w:rPr>
          <w:rFonts w:ascii="Courier New" w:hAnsi="Courier New"/>
          <w:sz w:val="18"/>
        </w:rPr>
        <w:t>Morning:  You open the station. Pumps are running. SENTINEL is recording sales.</w:t>
        <w:br/>
        <w:t xml:space="preserve">          SETEL is processing digital payments. E-invoice is generating tax documents.</w:t>
        <w:br/>
        <w:br/>
        <w:t>Evening:  You close the station. You look at THREE different numbers:</w:t>
        <w:br/>
        <w:t xml:space="preserve">          - Pump meter totals (physical)</w:t>
        <w:br/>
        <w:t xml:space="preserve">          - SENTINEL system totals (subsidy tracking)</w:t>
        <w:br/>
        <w:t xml:space="preserve">          - SETEL transaction totals (digital payment)</w:t>
        <w:br/>
        <w:br/>
        <w:t xml:space="preserve">          They don’t match.</w:t>
        <w:br/>
        <w:br/>
        <w:t>Month-end: LHDN wants e-invoices. Credit notes. Debit notes.</w:t>
        <w:br/>
        <w:t xml:space="preserve">           The numbers STILL don’t match.</w:t>
        <w:br/>
        <w:t xml:space="preserve">           You don’t know whose number is right.</w:t>
        <w:br/>
        <w:t xml:space="preserve">           You don’t know whose number is wrong.</w:t>
        <w:br/>
        <w:t xml:space="preserve">           You don’t even know who to call.</w:t>
      </w:r>
    </w:p>
    <w:p>
      <w:pPr>
        <w:pStyle w:val="Heading2"/>
      </w:pPr>
      <w:r>
        <w:t>What We Have Diagnosed</w:t>
      </w:r>
    </w:p>
    <w:p>
      <w:r>
        <w:t>Through direct engagement with KOBB station operators and meetings with SETEL, Entruss Ventures has identified three root causes — none of which are the operator’s fault:</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
              <w:rPr>
                <w:b/>
                <w:sz w:val="20"/>
              </w:rPr>
              <w:t>Root Cause</w:t>
            </w:r>
          </w:p>
        </w:tc>
        <w:tc>
          <w:tcPr>
            <w:tcW w:type="dxa" w:w="3120"/>
          </w:tcPr>
          <w:p>
            <w:r/>
            <w:r>
              <w:rPr>
                <w:b/>
                <w:sz w:val="20"/>
              </w:rPr>
              <w:t>What Happens</w:t>
            </w:r>
          </w:p>
        </w:tc>
        <w:tc>
          <w:tcPr>
            <w:tcW w:type="dxa" w:w="3120"/>
          </w:tcPr>
          <w:p>
            <w:r/>
            <w:r>
              <w:rPr>
                <w:b/>
                <w:sz w:val="20"/>
              </w:rPr>
              <w:t>Impact</w:t>
            </w:r>
          </w:p>
        </w:tc>
      </w:tr>
      <w:tr>
        <w:tc>
          <w:tcPr>
            <w:tcW w:type="dxa" w:w="3120"/>
          </w:tcPr>
          <w:p>
            <w:r/>
            <w:r>
              <w:rPr>
                <w:b/>
                <w:sz w:val="20"/>
              </w:rPr>
              <w:t>1. Live System Access Conflict</w:t>
            </w:r>
          </w:p>
        </w:tc>
        <w:tc>
          <w:tcPr>
            <w:tcW w:type="dxa" w:w="3120"/>
          </w:tcPr>
          <w:p>
            <w:r/>
            <w:r>
              <w:rPr>
                <w:sz w:val="20"/>
              </w:rPr>
              <w:t>SENTINEL and SETEL access the same transaction data but at different moments in time. They are two separate systems reading a live database that is constantly changing.</w:t>
            </w:r>
          </w:p>
        </w:tc>
        <w:tc>
          <w:tcPr>
            <w:tcW w:type="dxa" w:w="3120"/>
          </w:tcPr>
          <w:p>
            <w:r/>
            <w:r>
              <w:rPr>
                <w:sz w:val="20"/>
              </w:rPr>
              <w:t>Daily totals diverge. Operators cannot reconcile.</w:t>
            </w:r>
          </w:p>
        </w:tc>
      </w:tr>
      <w:tr>
        <w:tc>
          <w:tcPr>
            <w:tcW w:type="dxa" w:w="3120"/>
          </w:tcPr>
          <w:p>
            <w:r/>
            <w:r>
              <w:rPr>
                <w:b/>
                <w:sz w:val="20"/>
              </w:rPr>
              <w:t>2. Vendor Update Practice</w:t>
            </w:r>
          </w:p>
        </w:tc>
        <w:tc>
          <w:tcPr>
            <w:tcW w:type="dxa" w:w="3120"/>
          </w:tcPr>
          <w:p>
            <w:r/>
            <w:r>
              <w:rPr>
                <w:sz w:val="20"/>
              </w:rPr>
              <w:t>The system vendors update records, prices, and configurations without coordinating a consistent cutoff point. Data changes mid-day, mid-transaction, mid-batch.</w:t>
            </w:r>
          </w:p>
        </w:tc>
        <w:tc>
          <w:tcPr>
            <w:tcW w:type="dxa" w:w="3120"/>
          </w:tcPr>
          <w:p>
            <w:r/>
            <w:r>
              <w:rPr>
                <w:sz w:val="20"/>
              </w:rPr>
              <w:t>Yesterday’s report doesn’t match today’s report for the same day.</w:t>
            </w:r>
          </w:p>
        </w:tc>
      </w:tr>
      <w:tr>
        <w:tc>
          <w:tcPr>
            <w:tcW w:type="dxa" w:w="3120"/>
          </w:tcPr>
          <w:p>
            <w:r/>
            <w:r>
              <w:rPr>
                <w:b/>
                <w:sz w:val="20"/>
              </w:rPr>
              <w:t>3. Incomplete UUID Disclosure</w:t>
            </w:r>
          </w:p>
        </w:tc>
        <w:tc>
          <w:tcPr>
            <w:tcW w:type="dxa" w:w="3120"/>
          </w:tcPr>
          <w:p>
            <w:r/>
            <w:r>
              <w:rPr>
                <w:sz w:val="20"/>
              </w:rPr>
              <w:t>Every transaction in SETEL has a UUID — but operators are not given the full UUID. They get truncated or partial references.</w:t>
            </w:r>
          </w:p>
        </w:tc>
        <w:tc>
          <w:tcPr>
            <w:tcW w:type="dxa" w:w="3120"/>
          </w:tcPr>
          <w:p>
            <w:r/>
            <w:r>
              <w:rPr>
                <w:sz w:val="20"/>
              </w:rPr>
              <w:t>Operators cannot trace specific disputed transactions.</w:t>
            </w:r>
          </w:p>
        </w:tc>
      </w:tr>
    </w:tbl>
    <w:p/>
    <w:p>
      <w:r>
        <w:br w:type="page"/>
      </w:r>
    </w:p>
    <w:p>
      <w:pPr>
        <w:pStyle w:val="Heading1"/>
      </w:pPr>
      <w:r>
        <w:t>Part 1: The Five Principles Every Operator Must Know</w:t>
      </w:r>
    </w:p>
    <w:p>
      <w:pPr>
        <w:pStyle w:val="Heading2"/>
      </w:pPr>
      <w:r>
        <w:t>Principle 1: Source of Truth</w:t>
      </w:r>
    </w:p>
    <w:p>
      <w:pPr>
        <w:ind w:left="850"/>
      </w:pPr>
      <w:r>
        <w:rPr>
          <w:i/>
          <w:color w:val="555555"/>
          <w:sz w:val="21"/>
        </w:rPr>
        <w:t>"If two systems disagree, one of them is wrong. You need to decide IN ADVANCE which one is the master."</w:t>
      </w:r>
    </w:p>
    <w:p>
      <w:r>
        <w:t>In every business — from a nasi lemak stall to Petronas headquarters — there must be one agreed source of truth for each type of data.</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
              <w:rPr>
                <w:b/>
                <w:sz w:val="20"/>
              </w:rPr>
              <w:t>Data Type</w:t>
            </w:r>
          </w:p>
        </w:tc>
        <w:tc>
          <w:tcPr>
            <w:tcW w:type="dxa" w:w="3120"/>
          </w:tcPr>
          <w:p>
            <w:r/>
            <w:r>
              <w:rPr>
                <w:b/>
                <w:sz w:val="20"/>
              </w:rPr>
              <w:t>Who Should Be Source of Truth?</w:t>
            </w:r>
          </w:p>
        </w:tc>
        <w:tc>
          <w:tcPr>
            <w:tcW w:type="dxa" w:w="3120"/>
          </w:tcPr>
          <w:p>
            <w:r/>
            <w:r>
              <w:rPr>
                <w:b/>
                <w:sz w:val="20"/>
              </w:rPr>
              <w:t>Current Reality</w:t>
            </w:r>
          </w:p>
        </w:tc>
      </w:tr>
      <w:tr>
        <w:tc>
          <w:tcPr>
            <w:tcW w:type="dxa" w:w="3120"/>
          </w:tcPr>
          <w:p>
            <w:r/>
            <w:r>
              <w:rPr>
                <w:sz w:val="20"/>
              </w:rPr>
              <w:t>Litres dispensed</w:t>
            </w:r>
          </w:p>
        </w:tc>
        <w:tc>
          <w:tcPr>
            <w:tcW w:type="dxa" w:w="3120"/>
          </w:tcPr>
          <w:p>
            <w:r/>
            <w:r>
              <w:rPr>
                <w:sz w:val="20"/>
              </w:rPr>
              <w:t>Physical pump meter</w:t>
            </w:r>
          </w:p>
        </w:tc>
        <w:tc>
          <w:tcPr>
            <w:tcW w:type="dxa" w:w="3120"/>
          </w:tcPr>
          <w:p>
            <w:r/>
            <w:r>
              <w:rPr>
                <w:sz w:val="20"/>
              </w:rPr>
              <w:t>Pump meter is correct (calibrated by KPDN)</w:t>
            </w:r>
          </w:p>
        </w:tc>
      </w:tr>
      <w:tr>
        <w:tc>
          <w:tcPr>
            <w:tcW w:type="dxa" w:w="3120"/>
          </w:tcPr>
          <w:p>
            <w:r/>
            <w:r>
              <w:rPr>
                <w:sz w:val="20"/>
              </w:rPr>
              <w:t>Subsidy-eligible transactions</w:t>
            </w:r>
          </w:p>
        </w:tc>
        <w:tc>
          <w:tcPr>
            <w:tcW w:type="dxa" w:w="3120"/>
          </w:tcPr>
          <w:p>
            <w:r/>
            <w:r>
              <w:rPr>
                <w:sz w:val="20"/>
              </w:rPr>
              <w:t>SENTINEL</w:t>
            </w:r>
          </w:p>
        </w:tc>
        <w:tc>
          <w:tcPr>
            <w:tcW w:type="dxa" w:w="3120"/>
          </w:tcPr>
          <w:p>
            <w:r/>
            <w:r>
              <w:rPr>
                <w:sz w:val="20"/>
              </w:rPr>
              <w:t>SENTINEL records at time of transaction</w:t>
            </w:r>
          </w:p>
        </w:tc>
      </w:tr>
      <w:tr>
        <w:tc>
          <w:tcPr>
            <w:tcW w:type="dxa" w:w="3120"/>
          </w:tcPr>
          <w:p>
            <w:r/>
            <w:r>
              <w:rPr>
                <w:sz w:val="20"/>
              </w:rPr>
              <w:t>Digital payment amount</w:t>
            </w:r>
          </w:p>
        </w:tc>
        <w:tc>
          <w:tcPr>
            <w:tcW w:type="dxa" w:w="3120"/>
          </w:tcPr>
          <w:p>
            <w:r/>
            <w:r>
              <w:rPr>
                <w:sz w:val="20"/>
              </w:rPr>
              <w:t>SETEL</w:t>
            </w:r>
          </w:p>
        </w:tc>
        <w:tc>
          <w:tcPr>
            <w:tcW w:type="dxa" w:w="3120"/>
          </w:tcPr>
          <w:p>
            <w:r/>
            <w:r>
              <w:rPr>
                <w:sz w:val="20"/>
              </w:rPr>
              <w:t>SETEL records at time of payment</w:t>
            </w:r>
          </w:p>
        </w:tc>
      </w:tr>
      <w:tr>
        <w:tc>
          <w:tcPr>
            <w:tcW w:type="dxa" w:w="3120"/>
          </w:tcPr>
          <w:p>
            <w:r/>
            <w:r>
              <w:rPr>
                <w:sz w:val="20"/>
              </w:rPr>
              <w:t>Tax document (e-invoice)</w:t>
            </w:r>
          </w:p>
        </w:tc>
        <w:tc>
          <w:tcPr>
            <w:tcW w:type="dxa" w:w="3120"/>
          </w:tcPr>
          <w:p>
            <w:r/>
            <w:r>
              <w:rPr>
                <w:sz w:val="20"/>
              </w:rPr>
              <w:t>LHDN MyInvois</w:t>
            </w:r>
          </w:p>
        </w:tc>
        <w:tc>
          <w:tcPr>
            <w:tcW w:type="dxa" w:w="3120"/>
          </w:tcPr>
          <w:p>
            <w:r/>
            <w:r>
              <w:rPr>
                <w:sz w:val="20"/>
              </w:rPr>
              <w:t>Generated after the fact — from which source?</w:t>
            </w:r>
          </w:p>
        </w:tc>
      </w:tr>
    </w:tbl>
    <w:p/>
    <w:p>
      <w:r>
        <w:rPr>
          <w:b/>
          <w:sz w:val="22"/>
        </w:rPr>
        <w:t>The problem:</w:t>
      </w:r>
      <w:r>
        <w:rPr>
          <w:sz w:val="22"/>
        </w:rPr>
        <w:t xml:space="preserve"> There is </w:t>
      </w:r>
      <w:r>
        <w:rPr>
          <w:b/>
          <w:sz w:val="22"/>
        </w:rPr>
        <w:t>no agreed single source of truth</w:t>
      </w:r>
      <w:r>
        <w:rPr>
          <w:sz w:val="22"/>
        </w:rPr>
        <w:t xml:space="preserve"> that SENTINEL, SETEL, and the e-invoice system all read from at the same moment.</w:t>
      </w:r>
    </w:p>
    <w:p>
      <w:r>
        <w:rPr>
          <w:b/>
          <w:sz w:val="22"/>
        </w:rPr>
        <w:t>What operators should demand:</w:t>
      </w:r>
      <w:r>
        <w:rPr>
          <w:sz w:val="22"/>
        </w:rPr>
        <w:t xml:space="preserve"> A clear written answer from Petronas/vendors: </w:t>
      </w:r>
      <w:r>
        <w:rPr>
          <w:b/>
          <w:sz w:val="22"/>
        </w:rPr>
        <w:t>"Which system is the master record for daily sales reconciliation?"</w:t>
      </w:r>
    </w:p>
    <w:p>
      <w:pPr>
        <w:pStyle w:val="Heading2"/>
      </w:pPr>
      <w:r>
        <w:t>Principle 2: GIGO — Garbage In, Garbage Out</w:t>
      </w:r>
    </w:p>
    <w:p>
      <w:pPr>
        <w:ind w:left="850"/>
      </w:pPr>
      <w:r>
        <w:rPr>
          <w:i/>
          <w:color w:val="555555"/>
          <w:sz w:val="21"/>
        </w:rPr>
        <w:t>"A computer does not know if the data is wrong. It will process garbage perfectly and give you a perfect-looking garbage report."</w:t>
      </w:r>
    </w:p>
    <w:p>
      <w:r>
        <w:t>The vendors’ systems are not broken. They process data exactly as programmed. But if the input data is inconsistent — because of timing differences, retroactive updates, or configuration changes — the output will be consistently wrong.</w:t>
      </w:r>
    </w:p>
    <w:p>
      <w:r>
        <w:rPr>
          <w:b/>
          <w:sz w:val="22"/>
        </w:rPr>
        <w:t>Examples operators will recognise:</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
              <w:rPr>
                <w:b/>
                <w:sz w:val="20"/>
              </w:rPr>
              <w:t>Scenario</w:t>
            </w:r>
          </w:p>
        </w:tc>
        <w:tc>
          <w:tcPr>
            <w:tcW w:type="dxa" w:w="3120"/>
          </w:tcPr>
          <w:p>
            <w:r/>
            <w:r>
              <w:rPr>
                <w:b/>
                <w:sz w:val="20"/>
              </w:rPr>
              <w:t>What Went In (Garbage)</w:t>
            </w:r>
          </w:p>
        </w:tc>
        <w:tc>
          <w:tcPr>
            <w:tcW w:type="dxa" w:w="3120"/>
          </w:tcPr>
          <w:p>
            <w:r/>
            <w:r>
              <w:rPr>
                <w:b/>
                <w:sz w:val="20"/>
              </w:rPr>
              <w:t>What Came Out (Garbage)</w:t>
            </w:r>
          </w:p>
        </w:tc>
      </w:tr>
      <w:tr>
        <w:tc>
          <w:tcPr>
            <w:tcW w:type="dxa" w:w="3120"/>
          </w:tcPr>
          <w:p>
            <w:r/>
            <w:r>
              <w:rPr>
                <w:sz w:val="20"/>
              </w:rPr>
              <w:t>Price updated at 11:47am, but pump recorded sale at 11:46am</w:t>
            </w:r>
          </w:p>
        </w:tc>
        <w:tc>
          <w:tcPr>
            <w:tcW w:type="dxa" w:w="3120"/>
          </w:tcPr>
          <w:p>
            <w:r/>
            <w:r>
              <w:rPr>
                <w:sz w:val="20"/>
              </w:rPr>
              <w:t>One system uses old price, another uses new price</w:t>
            </w:r>
          </w:p>
        </w:tc>
        <w:tc>
          <w:tcPr>
            <w:tcW w:type="dxa" w:w="3120"/>
          </w:tcPr>
          <w:p>
            <w:r/>
            <w:r>
              <w:rPr>
                <w:sz w:val="20"/>
              </w:rPr>
              <w:t>RM difference on one transaction — multiplied by hundreds per day</w:t>
            </w:r>
          </w:p>
        </w:tc>
      </w:tr>
      <w:tr>
        <w:tc>
          <w:tcPr>
            <w:tcW w:type="dxa" w:w="3120"/>
          </w:tcPr>
          <w:p>
            <w:r/>
            <w:r>
              <w:rPr>
                <w:sz w:val="20"/>
              </w:rPr>
              <w:t>SETEL batch closes at 11:59pm, SENTINEL closes at 12:00am</w:t>
            </w:r>
          </w:p>
        </w:tc>
        <w:tc>
          <w:tcPr>
            <w:tcW w:type="dxa" w:w="3120"/>
          </w:tcPr>
          <w:p>
            <w:r/>
            <w:r>
              <w:rPr>
                <w:sz w:val="20"/>
              </w:rPr>
              <w:t>Transactions near midnight appear in different days</w:t>
            </w:r>
          </w:p>
        </w:tc>
        <w:tc>
          <w:tcPr>
            <w:tcW w:type="dxa" w:w="3120"/>
          </w:tcPr>
          <w:p>
            <w:r/>
            <w:r>
              <w:rPr>
                <w:sz w:val="20"/>
              </w:rPr>
              <w:t>Daily totals don’t match. Neither system is "wrong".</w:t>
            </w:r>
          </w:p>
        </w:tc>
      </w:tr>
      <w:tr>
        <w:tc>
          <w:tcPr>
            <w:tcW w:type="dxa" w:w="3120"/>
          </w:tcPr>
          <w:p>
            <w:r/>
            <w:r>
              <w:rPr>
                <w:sz w:val="20"/>
              </w:rPr>
              <w:t>Credit note issued for subsidy adjustment, dated 3 days later</w:t>
            </w:r>
          </w:p>
        </w:tc>
        <w:tc>
          <w:tcPr>
            <w:tcW w:type="dxa" w:w="3120"/>
          </w:tcPr>
          <w:p>
            <w:r/>
            <w:r>
              <w:rPr>
                <w:sz w:val="20"/>
              </w:rPr>
              <w:t>E-invoice shows original amount on Day 1, credit note on Day 4</w:t>
            </w:r>
          </w:p>
        </w:tc>
        <w:tc>
          <w:tcPr>
            <w:tcW w:type="dxa" w:w="3120"/>
          </w:tcPr>
          <w:p>
            <w:r/>
            <w:r>
              <w:rPr>
                <w:sz w:val="20"/>
              </w:rPr>
              <w:t>Monthly reconciliation is chaos — discrepancy for 3 days</w:t>
            </w:r>
          </w:p>
        </w:tc>
      </w:tr>
    </w:tbl>
    <w:p/>
    <w:p>
      <w:r>
        <w:rPr>
          <w:b/>
          <w:sz w:val="22"/>
        </w:rPr>
        <w:t>What operators should demand:</w:t>
      </w:r>
      <w:r>
        <w:rPr>
          <w:sz w:val="22"/>
        </w:rPr>
        <w:t xml:space="preserve"> All systems must use the </w:t>
      </w:r>
      <w:r>
        <w:rPr>
          <w:b/>
          <w:sz w:val="22"/>
        </w:rPr>
        <w:t>same cutoff time</w:t>
      </w:r>
      <w:r>
        <w:rPr>
          <w:sz w:val="22"/>
        </w:rPr>
        <w:t xml:space="preserve"> (e.g., 00:00:00 midnight) and the </w:t>
      </w:r>
      <w:r>
        <w:rPr>
          <w:b/>
          <w:sz w:val="22"/>
        </w:rPr>
        <w:t>same price table version</w:t>
      </w:r>
      <w:r>
        <w:rPr>
          <w:sz w:val="22"/>
        </w:rPr>
        <w:t xml:space="preserve"> when processing the same transactions.</w:t>
      </w:r>
    </w:p>
    <w:p>
      <w:r>
        <w:br w:type="page"/>
      </w:r>
    </w:p>
    <w:p>
      <w:pPr>
        <w:pStyle w:val="Heading2"/>
      </w:pPr>
      <w:r>
        <w:t>Principle 3: EODA Backup — Your Snapshot Source of Truth</w:t>
      </w:r>
    </w:p>
    <w:p>
      <w:pPr>
        <w:ind w:left="850"/>
      </w:pPr>
      <w:r>
        <w:rPr>
          <w:i/>
          <w:color w:val="555555"/>
          <w:sz w:val="21"/>
        </w:rPr>
        <w:t>"EODA = End Of Day Archive. Take a backup snapshot every night. That frozen snapshot is YOUR truth."</w:t>
      </w:r>
    </w:p>
    <w:p>
      <w:r>
        <w:rPr>
          <w:b/>
          <w:sz w:val="22"/>
        </w:rPr>
        <w:t>What is EODA?</w:t>
      </w:r>
    </w:p>
    <w:p>
      <w:pPr>
        <w:ind w:left="567"/>
      </w:pPr>
      <w:r>
        <w:rPr>
          <w:rFonts w:ascii="Courier New" w:hAnsi="Courier New"/>
          <w:sz w:val="18"/>
        </w:rPr>
        <w:t>Every day at closing time (e.g., 11:55 PM):</w:t>
        <w:br/>
        <w:br/>
        <w:t>1. EXPORT your pump meter readings (physical count)</w:t>
        <w:br/>
        <w:t>2. EXPORT your SENTINEL daily summary (if available)</w:t>
        <w:br/>
        <w:t>3. EXPORT your SETEL daily transaction list</w:t>
        <w:br/>
        <w:t>4. SAVE all three into one folder: EODA_2026-02-18/</w:t>
        <w:br/>
        <w:br/>
        <w:t>That folder is now your FROZEN SNAPSHOT for that date.</w:t>
        <w:br/>
        <w:t>No one can change it. No vendor update can alter it.</w:t>
        <w:br/>
        <w:t>It is YOUR record.</w:t>
      </w:r>
    </w:p>
    <w:p>
      <w:r>
        <w:rPr>
          <w:b/>
          <w:sz w:val="22"/>
        </w:rPr>
        <w:t>Why this matters:</w:t>
      </w:r>
    </w:p>
    <w:p>
      <w:r>
        <w:t>When SETEL or SENTINEL’s live system is updated retroactively (price corrections, late credit notes, subsidy adjustments), the live reports will change. But your EODA snapshot will not. You can now compare:</w:t>
      </w:r>
    </w:p>
    <w:p>
      <w:pPr>
        <w:pStyle w:val="ListBullet"/>
      </w:pPr>
      <w:r>
        <w:rPr>
          <w:sz w:val="22"/>
        </w:rPr>
        <w:t>What the system said on the night of February 18</w:t>
      </w:r>
    </w:p>
    <w:p>
      <w:pPr>
        <w:pStyle w:val="ListBullet"/>
      </w:pPr>
      <w:r>
        <w:rPr>
          <w:sz w:val="22"/>
        </w:rPr>
        <w:t>What the system says today about February 18</w:t>
      </w:r>
    </w:p>
    <w:p>
      <w:r>
        <w:rPr>
          <w:b/>
          <w:sz w:val="22"/>
        </w:rPr>
        <w:t>If they differ, you have proof that the vendor changed the data after the fact.</w:t>
      </w:r>
      <w:r>
        <w:rPr>
          <w:sz w:val="22"/>
        </w:rPr>
        <w:t xml:space="preserve"> Without EODA, you have no proof.</w:t>
      </w:r>
    </w:p>
    <w:p>
      <w:r>
        <w:rPr>
          <w:b/>
          <w:sz w:val="22"/>
        </w:rPr>
        <w:t>Recommendation for SETEL/SENTINEL vendors:</w:t>
      </w:r>
    </w:p>
    <w:p>
      <w:pPr>
        <w:ind w:left="850"/>
      </w:pPr>
      <w:r>
        <w:rPr>
          <w:i/>
          <w:color w:val="555555"/>
          <w:sz w:val="21"/>
        </w:rPr>
        <w:t>The subsidy reconciliation system should read from an EODA snapshot (frozen daily archive) rather than querying the live transactional database. Two separate systems accessing a live database at different times will NEVER produce identical numbers.</w:t>
      </w:r>
    </w:p>
    <w:p>
      <w:pPr>
        <w:pStyle w:val="Heading2"/>
      </w:pPr>
      <w:r>
        <w:t>Principle 4: UUID — Your Transaction Fingerprint</w:t>
      </w:r>
    </w:p>
    <w:p>
      <w:pPr>
        <w:ind w:left="850"/>
      </w:pPr>
      <w:r>
        <w:rPr>
          <w:i/>
          <w:color w:val="555555"/>
          <w:sz w:val="21"/>
        </w:rPr>
        <w:t>"Every digital transaction has a UUID — a unique code that identifies it forever. If you don’t have it, you cannot trace it. If you cannot trace it, you cannot dispute it."</w:t>
      </w:r>
    </w:p>
    <w:p>
      <w:r>
        <w:rPr>
          <w:b/>
          <w:sz w:val="22"/>
        </w:rPr>
        <w:t>What is a UUID?</w:t>
      </w:r>
    </w:p>
    <w:p>
      <w:pPr>
        <w:ind w:left="567"/>
      </w:pPr>
      <w:r>
        <w:rPr>
          <w:rFonts w:ascii="Courier New" w:hAnsi="Courier New"/>
          <w:sz w:val="18"/>
        </w:rPr>
        <w:t>Example: 550e8400-e29b-41d4-a716-446655440000</w:t>
        <w:br/>
        <w:br/>
        <w:t>This is a 36-character code that uniquely identifies ONE transaction.</w:t>
        <w:br/>
        <w:t>No two transactions in the world will ever have the same UUID.</w:t>
        <w:br/>
        <w:t>It is the transaction’s "IC number".</w:t>
      </w:r>
    </w:p>
    <w:p>
      <w:r>
        <w:rPr>
          <w:b/>
          <w:sz w:val="22"/>
        </w:rPr>
        <w:t>The problem we uncovered:</w:t>
      </w:r>
    </w:p>
    <w:p>
      <w:r>
        <w:t>In our meeting with SETEL, we discovered that station operators are not given the full UUID for their transactions. They receive truncated references, partial codes, or internal batch numbers that cannot be traced back to the specific transaction in SETEL’s system.</w:t>
      </w:r>
    </w:p>
    <w:p>
      <w:r>
        <w:rPr>
          <w:b/>
          <w:sz w:val="22"/>
        </w:rPr>
        <w:t>Why this is unacceptable:</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
              <w:rPr>
                <w:b/>
                <w:sz w:val="20"/>
              </w:rPr>
              <w:t>Scenario</w:t>
            </w:r>
          </w:p>
        </w:tc>
        <w:tc>
          <w:tcPr>
            <w:tcW w:type="dxa" w:w="3120"/>
          </w:tcPr>
          <w:p>
            <w:r/>
            <w:r>
              <w:rPr>
                <w:b/>
                <w:sz w:val="20"/>
              </w:rPr>
              <w:t>With Full UUID</w:t>
            </w:r>
          </w:p>
        </w:tc>
        <w:tc>
          <w:tcPr>
            <w:tcW w:type="dxa" w:w="3120"/>
          </w:tcPr>
          <w:p>
            <w:r/>
            <w:r>
              <w:rPr>
                <w:b/>
                <w:sz w:val="20"/>
              </w:rPr>
              <w:t>Without Full UUID</w:t>
            </w:r>
          </w:p>
        </w:tc>
      </w:tr>
      <w:tr>
        <w:tc>
          <w:tcPr>
            <w:tcW w:type="dxa" w:w="3120"/>
          </w:tcPr>
          <w:p>
            <w:r/>
            <w:r>
              <w:rPr>
                <w:sz w:val="20"/>
              </w:rPr>
              <w:t>Customer disputes a charge</w:t>
            </w:r>
          </w:p>
        </w:tc>
        <w:tc>
          <w:tcPr>
            <w:tcW w:type="dxa" w:w="3120"/>
          </w:tcPr>
          <w:p>
            <w:r/>
            <w:r>
              <w:rPr>
                <w:sz w:val="20"/>
              </w:rPr>
              <w:t>Operator shows UUID → SETEL confirms exact transaction</w:t>
            </w:r>
          </w:p>
        </w:tc>
        <w:tc>
          <w:tcPr>
            <w:tcW w:type="dxa" w:w="3120"/>
          </w:tcPr>
          <w:p>
            <w:r/>
            <w:r>
              <w:rPr>
                <w:sz w:val="20"/>
              </w:rPr>
              <w:t>Operator has nothing to show. SETEL says "which transaction?"</w:t>
            </w:r>
          </w:p>
        </w:tc>
      </w:tr>
      <w:tr>
        <w:tc>
          <w:tcPr>
            <w:tcW w:type="dxa" w:w="3120"/>
          </w:tcPr>
          <w:p>
            <w:r/>
            <w:r>
              <w:rPr>
                <w:sz w:val="20"/>
              </w:rPr>
              <w:t>Subsidy mismatch on one sale</w:t>
            </w:r>
          </w:p>
        </w:tc>
        <w:tc>
          <w:tcPr>
            <w:tcW w:type="dxa" w:w="3120"/>
          </w:tcPr>
          <w:p>
            <w:r/>
            <w:r>
              <w:rPr>
                <w:sz w:val="20"/>
              </w:rPr>
              <w:t>Operator traces UUID in SENTINEL and SETEL → finds discrepancy</w:t>
            </w:r>
          </w:p>
        </w:tc>
        <w:tc>
          <w:tcPr>
            <w:tcW w:type="dxa" w:w="3120"/>
          </w:tcPr>
          <w:p>
            <w:r/>
            <w:r>
              <w:rPr>
                <w:sz w:val="20"/>
              </w:rPr>
              <w:t>Operator sees discrepancy but cannot identify which transaction</w:t>
            </w:r>
          </w:p>
        </w:tc>
      </w:tr>
      <w:tr>
        <w:tc>
          <w:tcPr>
            <w:tcW w:type="dxa" w:w="3120"/>
          </w:tcPr>
          <w:p>
            <w:r/>
            <w:r>
              <w:rPr>
                <w:sz w:val="20"/>
              </w:rPr>
              <w:t>LHDN audit on e-invoice</w:t>
            </w:r>
          </w:p>
        </w:tc>
        <w:tc>
          <w:tcPr>
            <w:tcW w:type="dxa" w:w="3120"/>
          </w:tcPr>
          <w:p>
            <w:r/>
            <w:r>
              <w:rPr>
                <w:sz w:val="20"/>
              </w:rPr>
              <w:t>Operator maps UUID to e-invoice line item → complete trail</w:t>
            </w:r>
          </w:p>
        </w:tc>
        <w:tc>
          <w:tcPr>
            <w:tcW w:type="dxa" w:w="3120"/>
          </w:tcPr>
          <w:p>
            <w:r/>
            <w:r>
              <w:rPr>
                <w:sz w:val="20"/>
              </w:rPr>
              <w:t>Operator cannot prove which sale corresponds to which invoice</w:t>
            </w:r>
          </w:p>
        </w:tc>
      </w:tr>
      <w:tr>
        <w:tc>
          <w:tcPr>
            <w:tcW w:type="dxa" w:w="3120"/>
          </w:tcPr>
          <w:p>
            <w:r/>
            <w:r>
              <w:rPr>
                <w:sz w:val="20"/>
              </w:rPr>
              <w:t>Credit note issued late</w:t>
            </w:r>
          </w:p>
        </w:tc>
        <w:tc>
          <w:tcPr>
            <w:tcW w:type="dxa" w:w="3120"/>
          </w:tcPr>
          <w:p>
            <w:r/>
            <w:r>
              <w:rPr>
                <w:sz w:val="20"/>
              </w:rPr>
              <w:t>UUID links original transaction → credit note → revised amount</w:t>
            </w:r>
          </w:p>
        </w:tc>
        <w:tc>
          <w:tcPr>
            <w:tcW w:type="dxa" w:w="3120"/>
          </w:tcPr>
          <w:p>
            <w:r/>
            <w:r>
              <w:rPr>
                <w:sz w:val="20"/>
              </w:rPr>
              <w:t>No linkage. Operator’s books have unexplained gaps.</w:t>
            </w:r>
          </w:p>
        </w:tc>
      </w:tr>
    </w:tbl>
    <w:p/>
    <w:p>
      <w:r>
        <w:rPr>
          <w:b/>
          <w:sz w:val="22"/>
        </w:rPr>
        <w:t>What operators should demand:</w:t>
      </w:r>
      <w:r>
        <w:rPr>
          <w:sz w:val="22"/>
        </w:rPr>
        <w:t xml:space="preserve"> Full UUID for every transaction, printed on receipts AND available in daily export files.</w:t>
      </w:r>
    </w:p>
    <w:p>
      <w:r>
        <w:br w:type="page"/>
      </w:r>
    </w:p>
    <w:p>
      <w:pPr>
        <w:pStyle w:val="Heading2"/>
      </w:pPr>
      <w:r>
        <w:t>Principle 5: Reconciliation Must Be Tri-Party</w:t>
      </w:r>
    </w:p>
    <w:p>
      <w:pPr>
        <w:ind w:left="850"/>
      </w:pPr>
      <w:r>
        <w:rPr>
          <w:i/>
          <w:color w:val="555555"/>
          <w:sz w:val="21"/>
        </w:rPr>
        <w:t>"You cannot reconcile two systems by looking at only one of them."</w:t>
      </w:r>
    </w:p>
    <w:p>
      <w:r>
        <w:t>Current practice expects operators to reconcile SENTINEL and SETEL separately. But subsidy transactions involve three parties:</w:t>
      </w:r>
    </w:p>
    <w:p>
      <w:pPr>
        <w:ind w:left="567"/>
      </w:pPr>
      <w:r>
        <w:rPr>
          <w:rFonts w:ascii="Courier New" w:hAnsi="Courier New"/>
          <w:sz w:val="18"/>
        </w:rPr>
        <w:t xml:space="preserve">          PUMP (Physical)</w:t>
        <w:br/>
        <w:t xml:space="preserve">              |</w:t>
        <w:br/>
        <w:t xml:space="preserve">    +---------+---------+</w:t>
        <w:br/>
        <w:t xml:space="preserve">    |                   |</w:t>
        <w:br/>
        <w:t>SENTINEL            SETEL</w:t>
        <w:br/>
        <w:t>(Subsidy tracking)  (Payment processing)</w:t>
        <w:br/>
        <w:t xml:space="preserve">    |                   |</w:t>
        <w:br/>
        <w:t xml:space="preserve">    +---------+---------+</w:t>
        <w:br/>
        <w:t xml:space="preserve">              |</w:t>
        <w:br/>
        <w:t xml:space="preserve">         E-INVOICE</w:t>
        <w:br/>
        <w:t xml:space="preserve">         (LHDN tax document)</w:t>
      </w:r>
    </w:p>
    <w:p>
      <w:r>
        <w:rPr>
          <w:b/>
          <w:sz w:val="22"/>
        </w:rPr>
        <w:t>All four numbers must agree for a given day:</w:t>
      </w:r>
    </w:p>
    <w:p>
      <w:pPr>
        <w:pStyle w:val="ListBullet"/>
      </w:pPr>
      <w:r>
        <w:rPr>
          <w:sz w:val="22"/>
        </w:rPr>
        <w:t>Pump meters: X litres dispensed</w:t>
      </w:r>
    </w:p>
    <w:p>
      <w:pPr>
        <w:pStyle w:val="ListBullet"/>
      </w:pPr>
      <w:r>
        <w:rPr>
          <w:sz w:val="22"/>
        </w:rPr>
        <w:t>SENTINEL: X litres recorded as subsidised / non-subsidised</w:t>
      </w:r>
    </w:p>
    <w:p>
      <w:pPr>
        <w:pStyle w:val="ListBullet"/>
      </w:pPr>
      <w:r>
        <w:rPr>
          <w:sz w:val="22"/>
        </w:rPr>
        <w:t>SETEL: RM Y collected via digital payment</w:t>
      </w:r>
    </w:p>
    <w:p>
      <w:pPr>
        <w:pStyle w:val="ListBullet"/>
      </w:pPr>
      <w:r>
        <w:rPr>
          <w:sz w:val="22"/>
        </w:rPr>
        <w:t>E-Invoice: RM Y invoiced to LHDN</w:t>
      </w:r>
    </w:p>
    <w:p>
      <w:r>
        <w:rPr>
          <w:b/>
          <w:sz w:val="22"/>
        </w:rPr>
        <w:t>If ANY of these numbers disagree, there is a data integrity problem — and the operator should NOT sign off until it is resolved.</w:t>
      </w:r>
    </w:p>
    <w:p>
      <w:r>
        <w:br w:type="page"/>
      </w:r>
    </w:p>
    <w:p>
      <w:pPr>
        <w:pStyle w:val="Heading1"/>
      </w:pPr>
      <w:r>
        <w:t>Part 2: The E-Invoice Nightmare</w:t>
      </w:r>
    </w:p>
    <w:p>
      <w:pPr>
        <w:pStyle w:val="Heading2"/>
      </w:pPr>
      <w:r>
        <w:t>What Operators Face</w:t>
      </w:r>
    </w:p>
    <w:p>
      <w:r>
        <w:t>Since August 2024 (Phase 1) and continuing into 2025-2026, petrol station operators must comply with LHDN’s mandatory e-invoicing requirements.</w:t>
      </w:r>
    </w:p>
    <w:p>
      <w:r>
        <w:rPr>
          <w:b/>
          <w:sz w:val="22"/>
        </w:rPr>
        <w:t>The specific pain points for station operators: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
              <w:rPr>
                <w:b/>
                <w:sz w:val="20"/>
              </w:rPr>
              <w:t>Issue</w:t>
            </w:r>
          </w:p>
        </w:tc>
        <w:tc>
          <w:tcPr>
            <w:tcW w:type="dxa" w:w="3120"/>
          </w:tcPr>
          <w:p>
            <w:r/>
            <w:r>
              <w:rPr>
                <w:b/>
                <w:sz w:val="20"/>
              </w:rPr>
              <w:t>What Happens</w:t>
            </w:r>
          </w:p>
        </w:tc>
        <w:tc>
          <w:tcPr>
            <w:tcW w:type="dxa" w:w="3120"/>
          </w:tcPr>
          <w:p>
            <w:r/>
            <w:r>
              <w:rPr>
                <w:b/>
                <w:sz w:val="20"/>
              </w:rPr>
              <w:t>Impact</w:t>
            </w:r>
          </w:p>
        </w:tc>
      </w:tr>
      <w:tr>
        <w:tc>
          <w:tcPr>
            <w:tcW w:type="dxa" w:w="3120"/>
          </w:tcPr>
          <w:p>
            <w:r/>
            <w:r>
              <w:rPr>
                <w:b/>
                <w:sz w:val="20"/>
              </w:rPr>
              <w:t>Late credit notes</w:t>
            </w:r>
          </w:p>
        </w:tc>
        <w:tc>
          <w:tcPr>
            <w:tcW w:type="dxa" w:w="3120"/>
          </w:tcPr>
          <w:p>
            <w:r/>
            <w:r>
              <w:rPr>
                <w:sz w:val="20"/>
              </w:rPr>
              <w:t>Subsidy adjustments generate credit notes days after the original sale</w:t>
            </w:r>
          </w:p>
        </w:tc>
        <w:tc>
          <w:tcPr>
            <w:tcW w:type="dxa" w:w="3120"/>
          </w:tcPr>
          <w:p>
            <w:r/>
            <w:r>
              <w:rPr>
                <w:sz w:val="20"/>
              </w:rPr>
              <w:t>Daily e-invoice total doesn’t match daily cash/payment total.</w:t>
            </w:r>
          </w:p>
        </w:tc>
      </w:tr>
      <w:tr>
        <w:tc>
          <w:tcPr>
            <w:tcW w:type="dxa" w:w="3120"/>
          </w:tcPr>
          <w:p>
            <w:r/>
            <w:r>
              <w:rPr>
                <w:b/>
                <w:sz w:val="20"/>
              </w:rPr>
              <w:t>Debit notes for underclaims</w:t>
            </w:r>
          </w:p>
        </w:tc>
        <w:tc>
          <w:tcPr>
            <w:tcW w:type="dxa" w:w="3120"/>
          </w:tcPr>
          <w:p>
            <w:r/>
            <w:r>
              <w:rPr>
                <w:sz w:val="20"/>
              </w:rPr>
              <w:t>When the subsidy calculation is corrected upward, a debit note is issued</w:t>
            </w:r>
          </w:p>
        </w:tc>
        <w:tc>
          <w:tcPr>
            <w:tcW w:type="dxa" w:w="3120"/>
          </w:tcPr>
          <w:p>
            <w:r/>
            <w:r>
              <w:rPr>
                <w:sz w:val="20"/>
              </w:rPr>
              <w:t>Monthly reconciliation shows unexplained increases.</w:t>
            </w:r>
          </w:p>
        </w:tc>
      </w:tr>
      <w:tr>
        <w:tc>
          <w:tcPr>
            <w:tcW w:type="dxa" w:w="3120"/>
          </w:tcPr>
          <w:p>
            <w:r/>
            <w:r>
              <w:rPr>
                <w:b/>
                <w:sz w:val="20"/>
              </w:rPr>
              <w:t>Timing mismatch</w:t>
            </w:r>
          </w:p>
        </w:tc>
        <w:tc>
          <w:tcPr>
            <w:tcW w:type="dxa" w:w="3120"/>
          </w:tcPr>
          <w:p>
            <w:r/>
            <w:r>
              <w:rPr>
                <w:sz w:val="20"/>
              </w:rPr>
              <w:t>E-invoice is generated at a different time than the SENTINEL/SETEL record</w:t>
            </w:r>
          </w:p>
        </w:tc>
        <w:tc>
          <w:tcPr>
            <w:tcW w:type="dxa" w:w="3120"/>
          </w:tcPr>
          <w:p>
            <w:r/>
            <w:r>
              <w:rPr>
                <w:sz w:val="20"/>
              </w:rPr>
              <w:t>The same sale appears on different dates in different systems.</w:t>
            </w:r>
          </w:p>
        </w:tc>
      </w:tr>
      <w:tr>
        <w:tc>
          <w:tcPr>
            <w:tcW w:type="dxa" w:w="3120"/>
          </w:tcPr>
          <w:p>
            <w:r/>
            <w:r>
              <w:rPr>
                <w:b/>
                <w:sz w:val="20"/>
              </w:rPr>
              <w:t>Batch vs real-time</w:t>
            </w:r>
          </w:p>
        </w:tc>
        <w:tc>
          <w:tcPr>
            <w:tcW w:type="dxa" w:w="3120"/>
          </w:tcPr>
          <w:p>
            <w:r/>
            <w:r>
              <w:rPr>
                <w:sz w:val="20"/>
              </w:rPr>
              <w:t>E-invoices are generated in batches, but transactions are real-time</w:t>
            </w:r>
          </w:p>
        </w:tc>
        <w:tc>
          <w:tcPr>
            <w:tcW w:type="dxa" w:w="3120"/>
          </w:tcPr>
          <w:p>
            <w:r/>
            <w:r>
              <w:rPr>
                <w:sz w:val="20"/>
              </w:rPr>
              <w:t>Individual amounts may be aggregated differently.</w:t>
            </w:r>
          </w:p>
        </w:tc>
      </w:tr>
    </w:tbl>
    <w:p/>
    <w:p>
      <w:pPr>
        <w:pStyle w:val="Heading2"/>
      </w:pPr>
      <w:r>
        <w:t>The Root Cause</w:t>
      </w:r>
    </w:p>
    <w:p>
      <w:r>
        <w:t>The e-invoice system was designed for simple buy-sell transactions: one seller, one buyer, one invoice, one payment. The petrol subsidy system introduces a third party (the government subsidy), which means:</w:t>
      </w:r>
    </w:p>
    <w:p>
      <w:pPr>
        <w:pStyle w:val="ListBullet"/>
      </w:pPr>
      <w:r>
        <w:rPr>
          <w:sz w:val="22"/>
        </w:rPr>
        <w:t xml:space="preserve">The </w:t>
      </w:r>
      <w:r>
        <w:rPr>
          <w:b/>
          <w:sz w:val="22"/>
        </w:rPr>
        <w:t>pump price</w:t>
      </w:r>
      <w:r>
        <w:rPr>
          <w:sz w:val="22"/>
        </w:rPr>
        <w:t xml:space="preserve"> (what the customer sees): RM2.05/litre (RON95)</w:t>
      </w:r>
    </w:p>
    <w:p>
      <w:pPr>
        <w:pStyle w:val="ListBullet"/>
      </w:pPr>
      <w:r>
        <w:rPr>
          <w:sz w:val="22"/>
        </w:rPr>
        <w:t xml:space="preserve">The </w:t>
      </w:r>
      <w:r>
        <w:rPr>
          <w:b/>
          <w:sz w:val="22"/>
        </w:rPr>
        <w:t>subsidised price</w:t>
      </w:r>
      <w:r>
        <w:rPr>
          <w:sz w:val="22"/>
        </w:rPr>
        <w:t xml:space="preserve"> (what the customer pays): RM1.99/litre</w:t>
      </w:r>
    </w:p>
    <w:p>
      <w:pPr>
        <w:pStyle w:val="ListBullet"/>
      </w:pPr>
      <w:r>
        <w:rPr>
          <w:sz w:val="22"/>
        </w:rPr>
        <w:t xml:space="preserve">The </w:t>
      </w:r>
      <w:r>
        <w:rPr>
          <w:b/>
          <w:sz w:val="22"/>
        </w:rPr>
        <w:t>subsidy amount</w:t>
      </w:r>
      <w:r>
        <w:rPr>
          <w:sz w:val="22"/>
        </w:rPr>
        <w:t xml:space="preserve"> (what the government pays): RM0.06/litre</w:t>
      </w:r>
    </w:p>
    <w:p>
      <w:r>
        <w:rPr>
          <w:b/>
          <w:sz w:val="22"/>
        </w:rPr>
        <w:t>Three amounts for one transaction. One e-invoice. How do you reconcile?</w:t>
      </w:r>
    </w:p>
    <w:p>
      <w:r>
        <w:t>This is not an operator problem. This is a system design problem that LHDN, KPDN, and the fuel companies need to resolve. But operators bear the consequences.</w:t>
      </w:r>
    </w:p>
    <w:p>
      <w:pPr>
        <w:pStyle w:val="Heading2"/>
      </w:pPr>
      <w:r>
        <w:t>What Operators Should Do Now</w:t>
      </w:r>
    </w:p>
    <w:p>
      <w:pPr>
        <w:pStyle w:val="ListBullet"/>
      </w:pPr>
      <w:r>
        <w:rPr>
          <w:b/>
          <w:sz w:val="22"/>
        </w:rPr>
        <w:t>Keep EODA snapshots</w:t>
      </w:r>
      <w:r>
        <w:rPr>
          <w:sz w:val="22"/>
        </w:rPr>
        <w:t xml:space="preserve"> — your daily frozen record (Principle 3)</w:t>
      </w:r>
    </w:p>
    <w:p>
      <w:pPr>
        <w:pStyle w:val="ListBullet"/>
      </w:pPr>
      <w:r>
        <w:rPr>
          <w:b/>
          <w:sz w:val="22"/>
        </w:rPr>
        <w:t>Demand full UUIDs</w:t>
      </w:r>
      <w:r>
        <w:rPr>
          <w:sz w:val="22"/>
        </w:rPr>
        <w:t xml:space="preserve"> — so you can trace any disputed transaction (Principle 4)</w:t>
      </w:r>
    </w:p>
    <w:p>
      <w:pPr>
        <w:pStyle w:val="ListBullet"/>
      </w:pPr>
      <w:r>
        <w:rPr>
          <w:b/>
          <w:sz w:val="22"/>
        </w:rPr>
        <w:t>Log every credit/debit note</w:t>
      </w:r>
      <w:r>
        <w:rPr>
          <w:sz w:val="22"/>
        </w:rPr>
        <w:t xml:space="preserve"> with the date it was issued AND the date of the original transaction</w:t>
      </w:r>
    </w:p>
    <w:p>
      <w:pPr>
        <w:pStyle w:val="ListBullet"/>
      </w:pPr>
      <w:r>
        <w:rPr>
          <w:b/>
          <w:sz w:val="22"/>
        </w:rPr>
        <w:t>Do not sign off on monthly reconciliations</w:t>
      </w:r>
      <w:r>
        <w:rPr>
          <w:sz w:val="22"/>
        </w:rPr>
        <w:t xml:space="preserve"> where the gap exceeds a threshold you are comfortable with</w:t>
      </w:r>
    </w:p>
    <w:p>
      <w:pPr>
        <w:pStyle w:val="ListBullet"/>
      </w:pPr>
      <w:r>
        <w:rPr>
          <w:b/>
          <w:sz w:val="22"/>
        </w:rPr>
        <w:t>Report discrepancies formally</w:t>
      </w:r>
      <w:r>
        <w:rPr>
          <w:sz w:val="22"/>
        </w:rPr>
        <w:t xml:space="preserve"> to KOBB — aggregate data strengthens the cooperative’s negotiating position</w:t>
      </w:r>
    </w:p>
    <w:p>
      <w:r>
        <w:br w:type="page"/>
      </w:r>
    </w:p>
    <w:p>
      <w:pPr>
        <w:pStyle w:val="Heading1"/>
      </w:pPr>
      <w:r>
        <w:t>Part 3: What KOBB Can Do as a Cooperative</w:t>
      </w:r>
    </w:p>
    <w:p>
      <w:pPr>
        <w:pStyle w:val="Heading2"/>
      </w:pPr>
      <w:r>
        <w:t>Individual Operators Are Weak. The Cooperative Is Strong.</w:t>
      </w:r>
    </w:p>
    <w:p>
      <w:r>
        <w:t>A single petrol station operator asking SETEL for full UUIDs will be ignored. KOBB representing all its member stations asking for full UUIDs is a formal demand from a registered cooperative with institutional backing.</w:t>
      </w:r>
    </w:p>
    <w:p>
      <w:pPr>
        <w:pStyle w:val="Heading2"/>
      </w:pPr>
      <w:r>
        <w:t>KOBB’s Collective Leverage</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
              <w:rPr>
                <w:b/>
                <w:sz w:val="20"/>
              </w:rPr>
              <w:t>Action</w:t>
            </w:r>
          </w:p>
        </w:tc>
        <w:tc>
          <w:tcPr>
            <w:tcW w:type="dxa" w:w="3120"/>
          </w:tcPr>
          <w:p>
            <w:r/>
            <w:r>
              <w:rPr>
                <w:b/>
                <w:sz w:val="20"/>
              </w:rPr>
              <w:t>Individual Operator</w:t>
            </w:r>
          </w:p>
        </w:tc>
        <w:tc>
          <w:tcPr>
            <w:tcW w:type="dxa" w:w="3120"/>
          </w:tcPr>
          <w:p>
            <w:r/>
            <w:r>
              <w:rPr>
                <w:b/>
                <w:sz w:val="20"/>
              </w:rPr>
              <w:t>KOBB Cooperative</w:t>
            </w:r>
          </w:p>
        </w:tc>
      </w:tr>
      <w:tr>
        <w:tc>
          <w:tcPr>
            <w:tcW w:type="dxa" w:w="3120"/>
          </w:tcPr>
          <w:p>
            <w:r/>
            <w:r>
              <w:rPr>
                <w:sz w:val="20"/>
              </w:rPr>
              <w:t>Demand full UUID disclosure</w:t>
            </w:r>
          </w:p>
        </w:tc>
        <w:tc>
          <w:tcPr>
            <w:tcW w:type="dxa" w:w="3120"/>
          </w:tcPr>
          <w:p>
            <w:r/>
            <w:r>
              <w:rPr>
                <w:sz w:val="20"/>
              </w:rPr>
              <w:t>Ignored</w:t>
            </w:r>
          </w:p>
        </w:tc>
        <w:tc>
          <w:tcPr>
            <w:tcW w:type="dxa" w:w="3120"/>
          </w:tcPr>
          <w:p>
            <w:r/>
            <w:r>
              <w:rPr>
                <w:sz w:val="20"/>
              </w:rPr>
              <w:t>Formal request backed by SKM/ANGKASA</w:t>
            </w:r>
          </w:p>
        </w:tc>
      </w:tr>
      <w:tr>
        <w:tc>
          <w:tcPr>
            <w:tcW w:type="dxa" w:w="3120"/>
          </w:tcPr>
          <w:p>
            <w:r/>
            <w:r>
              <w:rPr>
                <w:sz w:val="20"/>
              </w:rPr>
              <w:t>Demand EODA-based reconciliation</w:t>
            </w:r>
          </w:p>
        </w:tc>
        <w:tc>
          <w:tcPr>
            <w:tcW w:type="dxa" w:w="3120"/>
          </w:tcPr>
          <w:p>
            <w:r/>
            <w:r>
              <w:rPr>
                <w:sz w:val="20"/>
              </w:rPr>
              <w:t>"That’s not how the system works"</w:t>
            </w:r>
          </w:p>
        </w:tc>
        <w:tc>
          <w:tcPr>
            <w:tcW w:type="dxa" w:w="3120"/>
          </w:tcPr>
          <w:p>
            <w:r/>
            <w:r>
              <w:rPr>
                <w:sz w:val="20"/>
              </w:rPr>
              <w:t>Negotiate as standard practice for all member stations</w:t>
            </w:r>
          </w:p>
        </w:tc>
      </w:tr>
      <w:tr>
        <w:tc>
          <w:tcPr>
            <w:tcW w:type="dxa" w:w="3120"/>
          </w:tcPr>
          <w:p>
            <w:r/>
            <w:r>
              <w:rPr>
                <w:sz w:val="20"/>
              </w:rPr>
              <w:t>Report persistent mismatches</w:t>
            </w:r>
          </w:p>
        </w:tc>
        <w:tc>
          <w:tcPr>
            <w:tcW w:type="dxa" w:w="3120"/>
          </w:tcPr>
          <w:p>
            <w:r/>
            <w:r>
              <w:rPr>
                <w:sz w:val="20"/>
              </w:rPr>
              <w:t>One complaint among thousands</w:t>
            </w:r>
          </w:p>
        </w:tc>
        <w:tc>
          <w:tcPr>
            <w:tcW w:type="dxa" w:w="3120"/>
          </w:tcPr>
          <w:p>
            <w:r/>
            <w:r>
              <w:rPr>
                <w:sz w:val="20"/>
              </w:rPr>
              <w:t>Aggregated data showing systemic pattern</w:t>
            </w:r>
          </w:p>
        </w:tc>
      </w:tr>
      <w:tr>
        <w:tc>
          <w:tcPr>
            <w:tcW w:type="dxa" w:w="3120"/>
          </w:tcPr>
          <w:p>
            <w:r/>
            <w:r>
              <w:rPr>
                <w:sz w:val="20"/>
              </w:rPr>
              <w:t>Engage LHDN on e-invoice timing</w:t>
            </w:r>
          </w:p>
        </w:tc>
        <w:tc>
          <w:tcPr>
            <w:tcW w:type="dxa" w:w="3120"/>
          </w:tcPr>
          <w:p>
            <w:r/>
            <w:r>
              <w:rPr>
                <w:sz w:val="20"/>
              </w:rPr>
              <w:t>Complex and intimidating</w:t>
            </w:r>
          </w:p>
        </w:tc>
        <w:tc>
          <w:tcPr>
            <w:tcW w:type="dxa" w:w="3120"/>
          </w:tcPr>
          <w:p>
            <w:r/>
            <w:r>
              <w:rPr>
                <w:sz w:val="20"/>
              </w:rPr>
              <w:t>KOBB submits formal industry feedback</w:t>
            </w:r>
          </w:p>
        </w:tc>
      </w:tr>
      <w:tr>
        <w:tc>
          <w:tcPr>
            <w:tcW w:type="dxa" w:w="3120"/>
          </w:tcPr>
          <w:p>
            <w:r/>
            <w:r>
              <w:rPr>
                <w:sz w:val="20"/>
              </w:rPr>
              <w:t>Demand vendor SLA for credit/debit note timing</w:t>
            </w:r>
          </w:p>
        </w:tc>
        <w:tc>
          <w:tcPr>
            <w:tcW w:type="dxa" w:w="3120"/>
          </w:tcPr>
          <w:p>
            <w:r/>
            <w:r>
              <w:rPr>
                <w:sz w:val="20"/>
              </w:rPr>
              <w:t>No leverage</w:t>
            </w:r>
          </w:p>
        </w:tc>
        <w:tc>
          <w:tcPr>
            <w:tcW w:type="dxa" w:w="3120"/>
          </w:tcPr>
          <w:p>
            <w:r/>
            <w:r>
              <w:rPr>
                <w:sz w:val="20"/>
              </w:rPr>
              <w:t>Contractual requirement for all member stations</w:t>
            </w:r>
          </w:p>
        </w:tc>
      </w:tr>
      <w:tr>
        <w:tc>
          <w:tcPr>
            <w:tcW w:type="dxa" w:w="3120"/>
          </w:tcPr>
          <w:p>
            <w:r/>
            <w:r>
              <w:rPr>
                <w:sz w:val="20"/>
              </w:rPr>
              <w:t>Training and capacity building</w:t>
            </w:r>
          </w:p>
        </w:tc>
        <w:tc>
          <w:tcPr>
            <w:tcW w:type="dxa" w:w="3120"/>
          </w:tcPr>
          <w:p>
            <w:r/>
            <w:r>
              <w:rPr>
                <w:sz w:val="20"/>
              </w:rPr>
              <w:t>Self-funded, ad hoc</w:t>
            </w:r>
          </w:p>
        </w:tc>
        <w:tc>
          <w:tcPr>
            <w:tcW w:type="dxa" w:w="3120"/>
          </w:tcPr>
          <w:p>
            <w:r/>
            <w:r>
              <w:rPr>
                <w:sz w:val="20"/>
              </w:rPr>
              <w:t>HRDC-claimable, structured, ongoing</w:t>
            </w:r>
          </w:p>
        </w:tc>
      </w:tr>
    </w:tbl>
    <w:p/>
    <w:p>
      <w:pPr>
        <w:pStyle w:val="Heading2"/>
      </w:pPr>
      <w:r>
        <w:t>Prof. Wan Mohtar’s Role</w:t>
      </w:r>
    </w:p>
    <w:p>
      <w:r>
        <w:t>As Chairman of KOBB and board member of KOPSYA with strong ANGKASA connections, Prof. Dr. Hj. Wan Mohtar Wan Yusoff provides the institutional bridge between:</w:t>
      </w:r>
    </w:p>
    <w:p>
      <w:pPr>
        <w:pStyle w:val="ListBullet"/>
      </w:pPr>
      <w:r>
        <w:rPr>
          <w:b/>
          <w:sz w:val="22"/>
        </w:rPr>
        <w:t>Operators on the ground</w:t>
      </w:r>
      <w:r>
        <w:rPr>
          <w:sz w:val="22"/>
        </w:rPr>
        <w:t xml:space="preserve"> (who experience the problems daily)</w:t>
      </w:r>
    </w:p>
    <w:p>
      <w:pPr>
        <w:pStyle w:val="ListBullet"/>
      </w:pPr>
      <w:r>
        <w:rPr>
          <w:b/>
          <w:sz w:val="22"/>
        </w:rPr>
        <w:t>ANGKASA</w:t>
      </w:r>
      <w:r>
        <w:rPr>
          <w:sz w:val="22"/>
        </w:rPr>
        <w:t xml:space="preserve"> (which represents the cooperative movement nationally)</w:t>
      </w:r>
    </w:p>
    <w:p>
      <w:pPr>
        <w:pStyle w:val="ListBullet"/>
      </w:pPr>
      <w:r>
        <w:rPr>
          <w:b/>
          <w:sz w:val="22"/>
        </w:rPr>
        <w:t>Regulators</w:t>
      </w:r>
      <w:r>
        <w:rPr>
          <w:sz w:val="22"/>
        </w:rPr>
        <w:t xml:space="preserve"> (KPDN, LHDN, MOF) who set the rules</w:t>
      </w:r>
    </w:p>
    <w:p>
      <w:pPr>
        <w:pStyle w:val="ListBullet"/>
      </w:pPr>
      <w:r>
        <w:rPr>
          <w:b/>
          <w:sz w:val="22"/>
        </w:rPr>
        <w:t>Vendors</w:t>
      </w:r>
      <w:r>
        <w:rPr>
          <w:sz w:val="22"/>
        </w:rPr>
        <w:t xml:space="preserve"> (Petronas, SETEL) who build and operate the systems</w:t>
      </w:r>
    </w:p>
    <w:p>
      <w:r>
        <w:rPr>
          <w:sz w:val="22"/>
        </w:rPr>
        <w:t xml:space="preserve">This workshop is the first step in </w:t>
      </w:r>
      <w:r>
        <w:rPr>
          <w:b/>
          <w:sz w:val="22"/>
        </w:rPr>
        <w:t>converting individual frustration into collective action</w:t>
      </w:r>
      <w:r>
        <w:rPr>
          <w:sz w:val="22"/>
        </w:rPr>
        <w:t>.</w:t>
      </w:r>
    </w:p>
    <w:p>
      <w:r>
        <w:br w:type="page"/>
      </w:r>
    </w:p>
    <w:p>
      <w:pPr>
        <w:pStyle w:val="Heading1"/>
      </w:pPr>
      <w:r>
        <w:t>Part 4: Workshop Agenda</w:t>
      </w:r>
    </w:p>
    <w:p>
      <w:pPr>
        <w:pStyle w:val="Heading2"/>
      </w:pPr>
      <w:r>
        <w:t>Morning — Understanding Your Systems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
              <w:rPr>
                <w:b/>
                <w:sz w:val="20"/>
              </w:rPr>
              <w:t>Time</w:t>
            </w:r>
          </w:p>
        </w:tc>
        <w:tc>
          <w:tcPr>
            <w:tcW w:type="dxa" w:w="2340"/>
          </w:tcPr>
          <w:p>
            <w:r/>
            <w:r>
              <w:rPr>
                <w:b/>
                <w:sz w:val="20"/>
              </w:rPr>
              <w:t>Module</w:t>
            </w:r>
          </w:p>
        </w:tc>
        <w:tc>
          <w:tcPr>
            <w:tcW w:type="dxa" w:w="2340"/>
          </w:tcPr>
          <w:p>
            <w:r/>
            <w:r>
              <w:rPr>
                <w:b/>
                <w:sz w:val="20"/>
              </w:rPr>
              <w:t>Content</w:t>
            </w:r>
          </w:p>
        </w:tc>
        <w:tc>
          <w:tcPr>
            <w:tcW w:type="dxa" w:w="2340"/>
          </w:tcPr>
          <w:p>
            <w:r/>
            <w:r>
              <w:rPr>
                <w:b/>
                <w:sz w:val="20"/>
              </w:rPr>
              <w:t>Method</w:t>
            </w:r>
          </w:p>
        </w:tc>
      </w:tr>
      <w:tr>
        <w:tc>
          <w:tcPr>
            <w:tcW w:type="dxa" w:w="2340"/>
          </w:tcPr>
          <w:p>
            <w:r/>
            <w:r>
              <w:rPr>
                <w:sz w:val="20"/>
              </w:rPr>
              <w:t>09:00</w:t>
            </w:r>
          </w:p>
        </w:tc>
        <w:tc>
          <w:tcPr>
            <w:tcW w:type="dxa" w:w="2340"/>
          </w:tcPr>
          <w:p>
            <w:r/>
            <w:r>
              <w:rPr>
                <w:b/>
                <w:sz w:val="20"/>
              </w:rPr>
              <w:t>Opening</w:t>
            </w:r>
          </w:p>
        </w:tc>
        <w:tc>
          <w:tcPr>
            <w:tcW w:type="dxa" w:w="2340"/>
          </w:tcPr>
          <w:p>
            <w:r/>
            <w:r>
              <w:rPr>
                <w:sz w:val="20"/>
              </w:rPr>
              <w:t>Welcome by Prof. Wan Mohtar. Workshop objectives.</w:t>
            </w:r>
          </w:p>
        </w:tc>
        <w:tc>
          <w:tcPr>
            <w:tcW w:type="dxa" w:w="2340"/>
          </w:tcPr>
          <w:p>
            <w:r/>
            <w:r>
              <w:rPr>
                <w:sz w:val="20"/>
              </w:rPr>
              <w:t>Address</w:t>
            </w:r>
          </w:p>
        </w:tc>
      </w:tr>
      <w:tr>
        <w:tc>
          <w:tcPr>
            <w:tcW w:type="dxa" w:w="2340"/>
          </w:tcPr>
          <w:p>
            <w:r/>
            <w:r>
              <w:rPr>
                <w:sz w:val="20"/>
              </w:rPr>
              <w:t>09:15</w:t>
            </w:r>
          </w:p>
        </w:tc>
        <w:tc>
          <w:tcPr>
            <w:tcW w:type="dxa" w:w="2340"/>
          </w:tcPr>
          <w:p>
            <w:r/>
            <w:r>
              <w:rPr>
                <w:b/>
                <w:sz w:val="20"/>
              </w:rPr>
              <w:t>Module 1: Source of Truth</w:t>
            </w:r>
          </w:p>
        </w:tc>
        <w:tc>
          <w:tcPr>
            <w:tcW w:type="dxa" w:w="2340"/>
          </w:tcPr>
          <w:p>
            <w:r/>
            <w:r>
              <w:rPr>
                <w:sz w:val="20"/>
              </w:rPr>
              <w:t>What it means. Why your three systems disagree. Interactive poll.</w:t>
            </w:r>
          </w:p>
        </w:tc>
        <w:tc>
          <w:tcPr>
            <w:tcW w:type="dxa" w:w="2340"/>
          </w:tcPr>
          <w:p>
            <w:r/>
            <w:r>
              <w:rPr>
                <w:sz w:val="20"/>
              </w:rPr>
              <w:t>Lecture + poll</w:t>
            </w:r>
          </w:p>
        </w:tc>
      </w:tr>
      <w:tr>
        <w:tc>
          <w:tcPr>
            <w:tcW w:type="dxa" w:w="2340"/>
          </w:tcPr>
          <w:p>
            <w:r/>
            <w:r>
              <w:rPr>
                <w:sz w:val="20"/>
              </w:rPr>
              <w:t>09:45</w:t>
            </w:r>
          </w:p>
        </w:tc>
        <w:tc>
          <w:tcPr>
            <w:tcW w:type="dxa" w:w="2340"/>
          </w:tcPr>
          <w:p>
            <w:r/>
            <w:r>
              <w:rPr>
                <w:b/>
                <w:sz w:val="20"/>
              </w:rPr>
              <w:t>Module 2: GIGO in Action</w:t>
            </w:r>
          </w:p>
        </w:tc>
        <w:tc>
          <w:tcPr>
            <w:tcW w:type="dxa" w:w="2340"/>
          </w:tcPr>
          <w:p>
            <w:r/>
            <w:r>
              <w:rPr>
                <w:sz w:val="20"/>
              </w:rPr>
              <w:t>Live walkthrough of how a single price update creates mismatched numbers.</w:t>
            </w:r>
          </w:p>
        </w:tc>
        <w:tc>
          <w:tcPr>
            <w:tcW w:type="dxa" w:w="2340"/>
          </w:tcPr>
          <w:p>
            <w:r/>
            <w:r>
              <w:rPr>
                <w:sz w:val="20"/>
              </w:rPr>
              <w:t>Live demo</w:t>
            </w:r>
          </w:p>
        </w:tc>
      </w:tr>
      <w:tr>
        <w:tc>
          <w:tcPr>
            <w:tcW w:type="dxa" w:w="2340"/>
          </w:tcPr>
          <w:p>
            <w:r/>
            <w:r>
              <w:rPr>
                <w:sz w:val="20"/>
              </w:rPr>
              <w:t>10:15</w:t>
            </w:r>
          </w:p>
        </w:tc>
        <w:tc>
          <w:tcPr>
            <w:tcW w:type="dxa" w:w="2340"/>
          </w:tcPr>
          <w:p>
            <w:r/>
            <w:r>
              <w:rPr>
                <w:b/>
                <w:sz w:val="20"/>
              </w:rPr>
              <w:t>Break</w:t>
            </w:r>
          </w:p>
        </w:tc>
        <w:tc>
          <w:tcPr>
            <w:tcW w:type="dxa" w:w="2340"/>
          </w:tcPr>
          <w:p>
            <w:r/>
          </w:p>
        </w:tc>
        <w:tc>
          <w:tcPr>
            <w:tcW w:type="dxa" w:w="2340"/>
          </w:tcPr>
          <w:p>
            <w:r/>
          </w:p>
        </w:tc>
      </w:tr>
      <w:tr>
        <w:tc>
          <w:tcPr>
            <w:tcW w:type="dxa" w:w="2340"/>
          </w:tcPr>
          <w:p>
            <w:r/>
            <w:r>
              <w:rPr>
                <w:sz w:val="20"/>
              </w:rPr>
              <w:t>10:30</w:t>
            </w:r>
          </w:p>
        </w:tc>
        <w:tc>
          <w:tcPr>
            <w:tcW w:type="dxa" w:w="2340"/>
          </w:tcPr>
          <w:p>
            <w:r/>
            <w:r>
              <w:rPr>
                <w:b/>
                <w:sz w:val="20"/>
              </w:rPr>
              <w:t>Module 3: SENTINEL vs SETEL</w:t>
            </w:r>
          </w:p>
        </w:tc>
        <w:tc>
          <w:tcPr>
            <w:tcW w:type="dxa" w:w="2340"/>
          </w:tcPr>
          <w:p>
            <w:r/>
            <w:r>
              <w:rPr>
                <w:sz w:val="20"/>
              </w:rPr>
              <w:t>What each system does. Why they see different numbers. Clock diagram.</w:t>
            </w:r>
          </w:p>
        </w:tc>
        <w:tc>
          <w:tcPr>
            <w:tcW w:type="dxa" w:w="2340"/>
          </w:tcPr>
          <w:p>
            <w:r/>
            <w:r>
              <w:rPr>
                <w:sz w:val="20"/>
              </w:rPr>
              <w:t>Diagram + Q&amp;A</w:t>
            </w:r>
          </w:p>
        </w:tc>
      </w:tr>
      <w:tr>
        <w:tc>
          <w:tcPr>
            <w:tcW w:type="dxa" w:w="2340"/>
          </w:tcPr>
          <w:p>
            <w:r/>
            <w:r>
              <w:rPr>
                <w:sz w:val="20"/>
              </w:rPr>
              <w:t>11:15</w:t>
            </w:r>
          </w:p>
        </w:tc>
        <w:tc>
          <w:tcPr>
            <w:tcW w:type="dxa" w:w="2340"/>
          </w:tcPr>
          <w:p>
            <w:r/>
            <w:r>
              <w:rPr>
                <w:b/>
                <w:sz w:val="20"/>
              </w:rPr>
              <w:t>Module 4: The UUID Problem</w:t>
            </w:r>
          </w:p>
        </w:tc>
        <w:tc>
          <w:tcPr>
            <w:tcW w:type="dxa" w:w="2340"/>
          </w:tcPr>
          <w:p>
            <w:r/>
            <w:r>
              <w:rPr>
                <w:sz w:val="20"/>
              </w:rPr>
              <w:t>What a UUID is. Why you need the full one. What we found in our SETEL meeting.</w:t>
            </w:r>
          </w:p>
        </w:tc>
        <w:tc>
          <w:tcPr>
            <w:tcW w:type="dxa" w:w="2340"/>
          </w:tcPr>
          <w:p>
            <w:r/>
            <w:r>
              <w:rPr>
                <w:sz w:val="20"/>
              </w:rPr>
              <w:t>Lecture + examples</w:t>
            </w:r>
          </w:p>
        </w:tc>
      </w:tr>
      <w:tr>
        <w:tc>
          <w:tcPr>
            <w:tcW w:type="dxa" w:w="2340"/>
          </w:tcPr>
          <w:p>
            <w:r/>
            <w:r>
              <w:rPr>
                <w:sz w:val="20"/>
              </w:rPr>
              <w:t>12:00</w:t>
            </w:r>
          </w:p>
        </w:tc>
        <w:tc>
          <w:tcPr>
            <w:tcW w:type="dxa" w:w="2340"/>
          </w:tcPr>
          <w:p>
            <w:r/>
            <w:r>
              <w:rPr>
                <w:b/>
                <w:sz w:val="20"/>
              </w:rPr>
              <w:t>Module 5: EODA Backup</w:t>
            </w:r>
          </w:p>
        </w:tc>
        <w:tc>
          <w:tcPr>
            <w:tcW w:type="dxa" w:w="2340"/>
          </w:tcPr>
          <w:p>
            <w:r/>
            <w:r>
              <w:rPr>
                <w:sz w:val="20"/>
              </w:rPr>
              <w:t>Hands-on: how to take an EODA snapshot. Participants practice on their own data.</w:t>
            </w:r>
          </w:p>
        </w:tc>
        <w:tc>
          <w:tcPr>
            <w:tcW w:type="dxa" w:w="2340"/>
          </w:tcPr>
          <w:p>
            <w:r/>
            <w:r>
              <w:rPr>
                <w:sz w:val="20"/>
              </w:rPr>
              <w:t>Hands-on exercise</w:t>
            </w:r>
          </w:p>
        </w:tc>
      </w:tr>
      <w:tr>
        <w:tc>
          <w:tcPr>
            <w:tcW w:type="dxa" w:w="2340"/>
          </w:tcPr>
          <w:p>
            <w:r/>
            <w:r>
              <w:rPr>
                <w:sz w:val="20"/>
              </w:rPr>
              <w:t>12:45</w:t>
            </w:r>
          </w:p>
        </w:tc>
        <w:tc>
          <w:tcPr>
            <w:tcW w:type="dxa" w:w="2340"/>
          </w:tcPr>
          <w:p>
            <w:r/>
            <w:r>
              <w:rPr>
                <w:b/>
                <w:sz w:val="20"/>
              </w:rPr>
              <w:t>Lunch</w:t>
            </w:r>
          </w:p>
        </w:tc>
        <w:tc>
          <w:tcPr>
            <w:tcW w:type="dxa" w:w="2340"/>
          </w:tcPr>
          <w:p>
            <w:r/>
          </w:p>
        </w:tc>
        <w:tc>
          <w:tcPr>
            <w:tcW w:type="dxa" w:w="2340"/>
          </w:tcPr>
          <w:p>
            <w:r/>
          </w:p>
        </w:tc>
      </w:tr>
    </w:tbl>
    <w:p/>
    <w:p>
      <w:pPr>
        <w:pStyle w:val="Heading2"/>
      </w:pPr>
      <w:r>
        <w:t>Afternoon — Protecting Yourself</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
              <w:rPr>
                <w:b/>
                <w:sz w:val="20"/>
              </w:rPr>
              <w:t>Time</w:t>
            </w:r>
          </w:p>
        </w:tc>
        <w:tc>
          <w:tcPr>
            <w:tcW w:type="dxa" w:w="2340"/>
          </w:tcPr>
          <w:p>
            <w:r/>
            <w:r>
              <w:rPr>
                <w:b/>
                <w:sz w:val="20"/>
              </w:rPr>
              <w:t>Module</w:t>
            </w:r>
          </w:p>
        </w:tc>
        <w:tc>
          <w:tcPr>
            <w:tcW w:type="dxa" w:w="2340"/>
          </w:tcPr>
          <w:p>
            <w:r/>
            <w:r>
              <w:rPr>
                <w:b/>
                <w:sz w:val="20"/>
              </w:rPr>
              <w:t>Content</w:t>
            </w:r>
          </w:p>
        </w:tc>
        <w:tc>
          <w:tcPr>
            <w:tcW w:type="dxa" w:w="2340"/>
          </w:tcPr>
          <w:p>
            <w:r/>
            <w:r>
              <w:rPr>
                <w:b/>
                <w:sz w:val="20"/>
              </w:rPr>
              <w:t>Method</w:t>
            </w:r>
          </w:p>
        </w:tc>
      </w:tr>
      <w:tr>
        <w:tc>
          <w:tcPr>
            <w:tcW w:type="dxa" w:w="2340"/>
          </w:tcPr>
          <w:p>
            <w:r/>
            <w:r>
              <w:rPr>
                <w:sz w:val="20"/>
              </w:rPr>
              <w:t>13:45</w:t>
            </w:r>
          </w:p>
        </w:tc>
        <w:tc>
          <w:tcPr>
            <w:tcW w:type="dxa" w:w="2340"/>
          </w:tcPr>
          <w:p>
            <w:r/>
            <w:r>
              <w:rPr>
                <w:b/>
                <w:sz w:val="20"/>
              </w:rPr>
              <w:t>Module 6: E-Invoice for Operators</w:t>
            </w:r>
          </w:p>
        </w:tc>
        <w:tc>
          <w:tcPr>
            <w:tcW w:type="dxa" w:w="2340"/>
          </w:tcPr>
          <w:p>
            <w:r/>
            <w:r>
              <w:rPr>
                <w:sz w:val="20"/>
              </w:rPr>
              <w:t>What LHDN requires. Credit notes, debit notes, timing. Three-party transactions.</w:t>
            </w:r>
          </w:p>
        </w:tc>
        <w:tc>
          <w:tcPr>
            <w:tcW w:type="dxa" w:w="2340"/>
          </w:tcPr>
          <w:p>
            <w:r/>
            <w:r>
              <w:rPr>
                <w:sz w:val="20"/>
              </w:rPr>
              <w:t>Lecture + examples</w:t>
            </w:r>
          </w:p>
        </w:tc>
      </w:tr>
      <w:tr>
        <w:tc>
          <w:tcPr>
            <w:tcW w:type="dxa" w:w="2340"/>
          </w:tcPr>
          <w:p>
            <w:r/>
            <w:r>
              <w:rPr>
                <w:sz w:val="20"/>
              </w:rPr>
              <w:t>14:30</w:t>
            </w:r>
          </w:p>
        </w:tc>
        <w:tc>
          <w:tcPr>
            <w:tcW w:type="dxa" w:w="2340"/>
          </w:tcPr>
          <w:p>
            <w:r/>
            <w:r>
              <w:rPr>
                <w:b/>
                <w:sz w:val="20"/>
              </w:rPr>
              <w:t>Module 7: Reconciliation Workshop</w:t>
            </w:r>
          </w:p>
        </w:tc>
        <w:tc>
          <w:tcPr>
            <w:tcW w:type="dxa" w:w="2340"/>
          </w:tcPr>
          <w:p>
            <w:r/>
            <w:r>
              <w:rPr>
                <w:sz w:val="20"/>
              </w:rPr>
              <w:t>Hands-on: reconcile one week of data. Identify and classify gaps by root cause.</w:t>
            </w:r>
          </w:p>
        </w:tc>
        <w:tc>
          <w:tcPr>
            <w:tcW w:type="dxa" w:w="2340"/>
          </w:tcPr>
          <w:p>
            <w:r/>
            <w:r>
              <w:rPr>
                <w:sz w:val="20"/>
              </w:rPr>
              <w:t>Group exercise</w:t>
            </w:r>
          </w:p>
        </w:tc>
      </w:tr>
      <w:tr>
        <w:tc>
          <w:tcPr>
            <w:tcW w:type="dxa" w:w="2340"/>
          </w:tcPr>
          <w:p>
            <w:r/>
            <w:r>
              <w:rPr>
                <w:sz w:val="20"/>
              </w:rPr>
              <w:t>15:30</w:t>
            </w:r>
          </w:p>
        </w:tc>
        <w:tc>
          <w:tcPr>
            <w:tcW w:type="dxa" w:w="2340"/>
          </w:tcPr>
          <w:p>
            <w:r/>
            <w:r>
              <w:rPr>
                <w:b/>
                <w:sz w:val="20"/>
              </w:rPr>
              <w:t>Break</w:t>
            </w:r>
          </w:p>
        </w:tc>
        <w:tc>
          <w:tcPr>
            <w:tcW w:type="dxa" w:w="2340"/>
          </w:tcPr>
          <w:p>
            <w:r/>
          </w:p>
        </w:tc>
        <w:tc>
          <w:tcPr>
            <w:tcW w:type="dxa" w:w="2340"/>
          </w:tcPr>
          <w:p>
            <w:r/>
          </w:p>
        </w:tc>
      </w:tr>
      <w:tr>
        <w:tc>
          <w:tcPr>
            <w:tcW w:type="dxa" w:w="2340"/>
          </w:tcPr>
          <w:p>
            <w:r/>
            <w:r>
              <w:rPr>
                <w:sz w:val="20"/>
              </w:rPr>
              <w:t>15:45</w:t>
            </w:r>
          </w:p>
        </w:tc>
        <w:tc>
          <w:tcPr>
            <w:tcW w:type="dxa" w:w="2340"/>
          </w:tcPr>
          <w:p>
            <w:r/>
            <w:r>
              <w:rPr>
                <w:b/>
                <w:sz w:val="20"/>
              </w:rPr>
              <w:t>Module 8: Your Rights as a Cooperative Member</w:t>
            </w:r>
          </w:p>
        </w:tc>
        <w:tc>
          <w:tcPr>
            <w:tcW w:type="dxa" w:w="2340"/>
          </w:tcPr>
          <w:p>
            <w:r/>
            <w:r>
              <w:rPr>
                <w:sz w:val="20"/>
              </w:rPr>
              <w:t>What KOBB can demand collectively. Template: formal discrepancy report form.</w:t>
            </w:r>
          </w:p>
        </w:tc>
        <w:tc>
          <w:tcPr>
            <w:tcW w:type="dxa" w:w="2340"/>
          </w:tcPr>
          <w:p>
            <w:r/>
            <w:r>
              <w:rPr>
                <w:sz w:val="20"/>
              </w:rPr>
              <w:t>Discussion + template</w:t>
            </w:r>
          </w:p>
        </w:tc>
      </w:tr>
      <w:tr>
        <w:tc>
          <w:tcPr>
            <w:tcW w:type="dxa" w:w="2340"/>
          </w:tcPr>
          <w:p>
            <w:r/>
            <w:r>
              <w:rPr>
                <w:sz w:val="20"/>
              </w:rPr>
              <w:t>16:30</w:t>
            </w:r>
          </w:p>
        </w:tc>
        <w:tc>
          <w:tcPr>
            <w:tcW w:type="dxa" w:w="2340"/>
          </w:tcPr>
          <w:p>
            <w:r/>
            <w:r>
              <w:rPr>
                <w:b/>
                <w:sz w:val="20"/>
              </w:rPr>
              <w:t>Module 9: Action Plan</w:t>
            </w:r>
          </w:p>
        </w:tc>
        <w:tc>
          <w:tcPr>
            <w:tcW w:type="dxa" w:w="2340"/>
          </w:tcPr>
          <w:p>
            <w:r/>
            <w:r>
              <w:rPr>
                <w:sz w:val="20"/>
              </w:rPr>
              <w:t>Personal action plan: Start EODA, demand UUID, log credit/debit notes, report to KOBB.</w:t>
            </w:r>
          </w:p>
        </w:tc>
        <w:tc>
          <w:tcPr>
            <w:tcW w:type="dxa" w:w="2340"/>
          </w:tcPr>
          <w:p>
            <w:r/>
            <w:r>
              <w:rPr>
                <w:sz w:val="20"/>
              </w:rPr>
              <w:t>Individual exercise</w:t>
            </w:r>
          </w:p>
        </w:tc>
      </w:tr>
      <w:tr>
        <w:tc>
          <w:tcPr>
            <w:tcW w:type="dxa" w:w="2340"/>
          </w:tcPr>
          <w:p>
            <w:r/>
            <w:r>
              <w:rPr>
                <w:sz w:val="20"/>
              </w:rPr>
              <w:t>17:00</w:t>
            </w:r>
          </w:p>
        </w:tc>
        <w:tc>
          <w:tcPr>
            <w:tcW w:type="dxa" w:w="2340"/>
          </w:tcPr>
          <w:p>
            <w:r/>
            <w:r>
              <w:rPr>
                <w:b/>
                <w:sz w:val="20"/>
              </w:rPr>
              <w:t>Closing</w:t>
            </w:r>
          </w:p>
        </w:tc>
        <w:tc>
          <w:tcPr>
            <w:tcW w:type="dxa" w:w="2340"/>
          </w:tcPr>
          <w:p>
            <w:r/>
            <w:r>
              <w:rPr>
                <w:sz w:val="20"/>
              </w:rPr>
              <w:t>Summary. Reference card distribution. Feedback forms. Certificate of attendance.</w:t>
            </w:r>
          </w:p>
        </w:tc>
        <w:tc>
          <w:tcPr>
            <w:tcW w:type="dxa" w:w="2340"/>
          </w:tcPr>
          <w:p>
            <w:r/>
            <w:r>
              <w:rPr>
                <w:sz w:val="20"/>
              </w:rPr>
              <w:t>Address</w:t>
            </w:r>
          </w:p>
        </w:tc>
      </w:tr>
    </w:tbl>
    <w:p/>
    <w:p>
      <w:r>
        <w:br w:type="page"/>
      </w:r>
    </w:p>
    <w:p>
      <w:pPr>
        <w:pStyle w:val="Heading1"/>
      </w:pPr>
      <w:r>
        <w:t>Part 5: Deliverables to Participants</w:t>
      </w:r>
    </w:p>
    <w:p>
      <w:r>
        <w:t>Each participant receives:</w:t>
      </w:r>
    </w:p>
    <w:tbl>
      <w:tblPr>
        <w:tblStyle w:val="LightGrid-Accent1"/>
        <w:tblW w:type="auto" w:w="0"/>
        <w:jc w:val="center"/>
        <w:tblLook w:firstColumn="1" w:firstRow="1" w:lastColumn="0" w:lastRow="0" w:noHBand="0" w:noVBand="1" w:val="04A0"/>
      </w:tblPr>
      <w:tblGrid>
        <w:gridCol w:w="4680"/>
        <w:gridCol w:w="4680"/>
      </w:tblGrid>
      <w:tr>
        <w:tc>
          <w:tcPr>
            <w:tcW w:type="dxa" w:w="4680"/>
          </w:tcPr>
          <w:p>
            <w:r/>
            <w:r>
              <w:rPr>
                <w:b/>
                <w:sz w:val="20"/>
              </w:rPr>
              <w:t>Item</w:t>
            </w:r>
          </w:p>
        </w:tc>
        <w:tc>
          <w:tcPr>
            <w:tcW w:type="dxa" w:w="4680"/>
          </w:tcPr>
          <w:p>
            <w:r/>
            <w:r>
              <w:rPr>
                <w:b/>
                <w:sz w:val="20"/>
              </w:rPr>
              <w:t>Description</w:t>
            </w:r>
          </w:p>
        </w:tc>
      </w:tr>
      <w:tr>
        <w:tc>
          <w:tcPr>
            <w:tcW w:type="dxa" w:w="4680"/>
          </w:tcPr>
          <w:p>
            <w:r/>
            <w:r>
              <w:rPr>
                <w:b/>
                <w:sz w:val="20"/>
              </w:rPr>
              <w:t>Laminated Reference Card</w:t>
            </w:r>
          </w:p>
        </w:tc>
        <w:tc>
          <w:tcPr>
            <w:tcW w:type="dxa" w:w="4680"/>
          </w:tcPr>
          <w:p>
            <w:r/>
            <w:r>
              <w:rPr>
                <w:sz w:val="20"/>
              </w:rPr>
              <w:t>The 5 Principles on a single card — kept at the cash register for daily reference</w:t>
            </w:r>
          </w:p>
        </w:tc>
      </w:tr>
      <w:tr>
        <w:tc>
          <w:tcPr>
            <w:tcW w:type="dxa" w:w="4680"/>
          </w:tcPr>
          <w:p>
            <w:r/>
            <w:r>
              <w:rPr>
                <w:b/>
                <w:sz w:val="20"/>
              </w:rPr>
              <w:t>EODA Template</w:t>
            </w:r>
          </w:p>
        </w:tc>
        <w:tc>
          <w:tcPr>
            <w:tcW w:type="dxa" w:w="4680"/>
          </w:tcPr>
          <w:p>
            <w:r/>
            <w:r>
              <w:rPr>
                <w:sz w:val="20"/>
              </w:rPr>
              <w:t>A simple folder structure and checklist for nightly backup snapshots</w:t>
            </w:r>
          </w:p>
        </w:tc>
      </w:tr>
      <w:tr>
        <w:tc>
          <w:tcPr>
            <w:tcW w:type="dxa" w:w="4680"/>
          </w:tcPr>
          <w:p>
            <w:r/>
            <w:r>
              <w:rPr>
                <w:b/>
                <w:sz w:val="20"/>
              </w:rPr>
              <w:t>Discrepancy Report Template</w:t>
            </w:r>
          </w:p>
        </w:tc>
        <w:tc>
          <w:tcPr>
            <w:tcW w:type="dxa" w:w="4680"/>
          </w:tcPr>
          <w:p>
            <w:r/>
            <w:r>
              <w:rPr>
                <w:sz w:val="20"/>
              </w:rPr>
              <w:t>Standard form for reporting mismatches to KOBB — includes all relevant fields</w:t>
            </w:r>
          </w:p>
        </w:tc>
      </w:tr>
      <w:tr>
        <w:tc>
          <w:tcPr>
            <w:tcW w:type="dxa" w:w="4680"/>
          </w:tcPr>
          <w:p>
            <w:r/>
            <w:r>
              <w:rPr>
                <w:b/>
                <w:sz w:val="20"/>
              </w:rPr>
              <w:t>UUID Demand Letter Template</w:t>
            </w:r>
          </w:p>
        </w:tc>
        <w:tc>
          <w:tcPr>
            <w:tcW w:type="dxa" w:w="4680"/>
          </w:tcPr>
          <w:p>
            <w:r/>
            <w:r>
              <w:rPr>
                <w:sz w:val="20"/>
              </w:rPr>
              <w:t>Draft letter from KOBB to SETEL requesting full UUID disclosure</w:t>
            </w:r>
          </w:p>
        </w:tc>
      </w:tr>
      <w:tr>
        <w:tc>
          <w:tcPr>
            <w:tcW w:type="dxa" w:w="4680"/>
          </w:tcPr>
          <w:p>
            <w:r/>
            <w:r>
              <w:rPr>
                <w:b/>
                <w:sz w:val="20"/>
              </w:rPr>
              <w:t>Certificate of Attendance</w:t>
            </w:r>
          </w:p>
        </w:tc>
        <w:tc>
          <w:tcPr>
            <w:tcW w:type="dxa" w:w="4680"/>
          </w:tcPr>
          <w:p>
            <w:r/>
            <w:r>
              <w:rPr>
                <w:sz w:val="20"/>
              </w:rPr>
              <w:t>HRDC-claimable, issued by Entruss Ventures Sdn. Bhd.</w:t>
            </w:r>
          </w:p>
        </w:tc>
      </w:tr>
    </w:tbl>
    <w:p/>
    <w:p>
      <w:pPr>
        <w:pStyle w:val="Heading1"/>
      </w:pPr>
      <w:r>
        <w:t>Part 6: Outcome and Next Steps</w:t>
      </w:r>
    </w:p>
    <w:p>
      <w:pPr>
        <w:pStyle w:val="Heading2"/>
      </w:pPr>
      <w:r>
        <w:t>For KOBB</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
              <w:rPr>
                <w:b/>
                <w:sz w:val="20"/>
              </w:rPr>
              <w:t>Action</w:t>
            </w:r>
          </w:p>
        </w:tc>
        <w:tc>
          <w:tcPr>
            <w:tcW w:type="dxa" w:w="3120"/>
          </w:tcPr>
          <w:p>
            <w:r/>
            <w:r>
              <w:rPr>
                <w:b/>
                <w:sz w:val="20"/>
              </w:rPr>
              <w:t>Timeline</w:t>
            </w:r>
          </w:p>
        </w:tc>
        <w:tc>
          <w:tcPr>
            <w:tcW w:type="dxa" w:w="3120"/>
          </w:tcPr>
          <w:p>
            <w:r/>
            <w:r>
              <w:rPr>
                <w:b/>
                <w:sz w:val="20"/>
              </w:rPr>
              <w:t>Lead</w:t>
            </w:r>
          </w:p>
        </w:tc>
      </w:tr>
      <w:tr>
        <w:tc>
          <w:tcPr>
            <w:tcW w:type="dxa" w:w="3120"/>
          </w:tcPr>
          <w:p>
            <w:r/>
            <w:r>
              <w:rPr>
                <w:sz w:val="20"/>
              </w:rPr>
              <w:t>Circulate UUID demand letter to SETEL (via KOBB board)</w:t>
            </w:r>
          </w:p>
        </w:tc>
        <w:tc>
          <w:tcPr>
            <w:tcW w:type="dxa" w:w="3120"/>
          </w:tcPr>
          <w:p>
            <w:r/>
            <w:r>
              <w:rPr>
                <w:sz w:val="20"/>
              </w:rPr>
              <w:t>Within 2 weeks of workshop</w:t>
            </w:r>
          </w:p>
        </w:tc>
        <w:tc>
          <w:tcPr>
            <w:tcW w:type="dxa" w:w="3120"/>
          </w:tcPr>
          <w:p>
            <w:r/>
            <w:r>
              <w:rPr>
                <w:sz w:val="20"/>
              </w:rPr>
              <w:t>Prof. Wan Mohtar</w:t>
            </w:r>
          </w:p>
        </w:tc>
      </w:tr>
      <w:tr>
        <w:tc>
          <w:tcPr>
            <w:tcW w:type="dxa" w:w="3120"/>
          </w:tcPr>
          <w:p>
            <w:r/>
            <w:r>
              <w:rPr>
                <w:sz w:val="20"/>
              </w:rPr>
              <w:t>Collect first month of EODA snapshots from 10 pilot stations</w:t>
            </w:r>
          </w:p>
        </w:tc>
        <w:tc>
          <w:tcPr>
            <w:tcW w:type="dxa" w:w="3120"/>
          </w:tcPr>
          <w:p>
            <w:r/>
            <w:r>
              <w:rPr>
                <w:sz w:val="20"/>
              </w:rPr>
              <w:t>30 days</w:t>
            </w:r>
          </w:p>
        </w:tc>
        <w:tc>
          <w:tcPr>
            <w:tcW w:type="dxa" w:w="3120"/>
          </w:tcPr>
          <w:p>
            <w:r/>
            <w:r>
              <w:rPr>
                <w:sz w:val="20"/>
              </w:rPr>
              <w:t>Workshop participants</w:t>
            </w:r>
          </w:p>
        </w:tc>
      </w:tr>
      <w:tr>
        <w:tc>
          <w:tcPr>
            <w:tcW w:type="dxa" w:w="3120"/>
          </w:tcPr>
          <w:p>
            <w:r/>
            <w:r>
              <w:rPr>
                <w:sz w:val="20"/>
              </w:rPr>
              <w:t>Aggregate discrepancy data and present to ANGKASA</w:t>
            </w:r>
          </w:p>
        </w:tc>
        <w:tc>
          <w:tcPr>
            <w:tcW w:type="dxa" w:w="3120"/>
          </w:tcPr>
          <w:p>
            <w:r/>
            <w:r>
              <w:rPr>
                <w:sz w:val="20"/>
              </w:rPr>
              <w:t>60 days</w:t>
            </w:r>
          </w:p>
        </w:tc>
        <w:tc>
          <w:tcPr>
            <w:tcW w:type="dxa" w:w="3120"/>
          </w:tcPr>
          <w:p>
            <w:r/>
            <w:r>
              <w:rPr>
                <w:sz w:val="20"/>
              </w:rPr>
              <w:t>KOBB IT committee</w:t>
            </w:r>
          </w:p>
        </w:tc>
      </w:tr>
      <w:tr>
        <w:tc>
          <w:tcPr>
            <w:tcW w:type="dxa" w:w="3120"/>
          </w:tcPr>
          <w:p>
            <w:r/>
            <w:r>
              <w:rPr>
                <w:sz w:val="20"/>
              </w:rPr>
              <w:t>Submit formal industry feedback to LHDN on e-invoice timing</w:t>
            </w:r>
          </w:p>
        </w:tc>
        <w:tc>
          <w:tcPr>
            <w:tcW w:type="dxa" w:w="3120"/>
          </w:tcPr>
          <w:p>
            <w:r/>
            <w:r>
              <w:rPr>
                <w:sz w:val="20"/>
              </w:rPr>
              <w:t>90 days</w:t>
            </w:r>
          </w:p>
        </w:tc>
        <w:tc>
          <w:tcPr>
            <w:tcW w:type="dxa" w:w="3120"/>
          </w:tcPr>
          <w:p>
            <w:r/>
            <w:r>
              <w:rPr>
                <w:sz w:val="20"/>
              </w:rPr>
              <w:t>KOBB + ANGKASA</w:t>
            </w:r>
          </w:p>
        </w:tc>
      </w:tr>
      <w:tr>
        <w:tc>
          <w:tcPr>
            <w:tcW w:type="dxa" w:w="3120"/>
          </w:tcPr>
          <w:p>
            <w:r/>
            <w:r>
              <w:rPr>
                <w:sz w:val="20"/>
              </w:rPr>
              <w:t>Plan follow-up workshop: "Advanced Reconciliation and Audit Preparation"</w:t>
            </w:r>
          </w:p>
        </w:tc>
        <w:tc>
          <w:tcPr>
            <w:tcW w:type="dxa" w:w="3120"/>
          </w:tcPr>
          <w:p>
            <w:r/>
            <w:r>
              <w:rPr>
                <w:sz w:val="20"/>
              </w:rPr>
              <w:t>Q3 2026</w:t>
            </w:r>
          </w:p>
        </w:tc>
        <w:tc>
          <w:tcPr>
            <w:tcW w:type="dxa" w:w="3120"/>
          </w:tcPr>
          <w:p>
            <w:r/>
            <w:r>
              <w:rPr>
                <w:sz w:val="20"/>
              </w:rPr>
              <w:t>Entruss Ventures</w:t>
            </w:r>
          </w:p>
        </w:tc>
      </w:tr>
    </w:tbl>
    <w:p/>
    <w:p>
      <w:pPr>
        <w:pStyle w:val="Heading2"/>
      </w:pPr>
      <w:r>
        <w:t>For Entruss Ventures</w:t>
      </w:r>
    </w:p>
    <w:p>
      <w:r>
        <w:t>This workshop establishes Entruss Ventures as a credible HRDC-certified training provider in the cooperative sector, specifically at the intersection of:</w:t>
      </w:r>
    </w:p>
    <w:p>
      <w:pPr>
        <w:pStyle w:val="ListBullet"/>
      </w:pPr>
      <w:r>
        <w:rPr>
          <w:b/>
          <w:sz w:val="22"/>
        </w:rPr>
        <w:t>IT literacy for non-technical operators</w:t>
      </w:r>
      <w:r>
        <w:rPr>
          <w:sz w:val="22"/>
        </w:rPr>
        <w:t xml:space="preserve"> — practical, not academic</w:t>
      </w:r>
    </w:p>
    <w:p>
      <w:pPr>
        <w:pStyle w:val="ListBullet"/>
      </w:pPr>
      <w:r>
        <w:rPr>
          <w:b/>
          <w:sz w:val="22"/>
        </w:rPr>
        <w:t>Data governance and reconciliation</w:t>
      </w:r>
      <w:r>
        <w:rPr>
          <w:sz w:val="22"/>
        </w:rPr>
        <w:t xml:space="preserve"> — principles that apply to any industry</w:t>
      </w:r>
    </w:p>
    <w:p>
      <w:pPr>
        <w:pStyle w:val="ListBullet"/>
      </w:pPr>
      <w:r>
        <w:rPr>
          <w:b/>
          <w:sz w:val="22"/>
        </w:rPr>
        <w:t>Cooperative collective action</w:t>
      </w:r>
      <w:r>
        <w:rPr>
          <w:sz w:val="22"/>
        </w:rPr>
        <w:t xml:space="preserve"> — translating individual problems into systemic solutions</w:t>
      </w:r>
    </w:p>
    <w:p>
      <w:r>
        <w:t>The KOBB workshop is a replicable model that can be adapted for:</w:t>
      </w:r>
    </w:p>
    <w:p>
      <w:pPr>
        <w:pStyle w:val="ListBullet"/>
      </w:pPr>
      <w:r>
        <w:rPr>
          <w:sz w:val="22"/>
        </w:rPr>
        <w:t>Other petrol station cooperatives (non-Petronas brands)</w:t>
      </w:r>
    </w:p>
    <w:p>
      <w:pPr>
        <w:pStyle w:val="ListBullet"/>
      </w:pPr>
      <w:r>
        <w:rPr>
          <w:sz w:val="22"/>
        </w:rPr>
        <w:t>Agricultural cooperatives (similar subsidy tracking issues)</w:t>
      </w:r>
    </w:p>
    <w:p>
      <w:pPr>
        <w:pStyle w:val="ListBullet"/>
      </w:pPr>
      <w:r>
        <w:rPr>
          <w:sz w:val="22"/>
        </w:rPr>
        <w:t>Any cooperative sector facing multi-vendor system reconciliation</w:t>
      </w:r>
    </w:p>
    <w:p>
      <w:r>
        <w:br w:type="page"/>
      </w:r>
    </w:p>
    <w:p>
      <w:pPr>
        <w:pStyle w:val="Heading1"/>
      </w:pPr>
      <w:r>
        <w:t>Appendix A: Glossary for Operators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
              <w:rPr>
                <w:b/>
                <w:sz w:val="20"/>
              </w:rPr>
              <w:t>Term</w:t>
            </w:r>
          </w:p>
        </w:tc>
        <w:tc>
          <w:tcPr>
            <w:tcW w:type="dxa" w:w="3120"/>
          </w:tcPr>
          <w:p>
            <w:r/>
            <w:r>
              <w:rPr>
                <w:b/>
                <w:sz w:val="20"/>
              </w:rPr>
              <w:t>Malay</w:t>
            </w:r>
          </w:p>
        </w:tc>
        <w:tc>
          <w:tcPr>
            <w:tcW w:type="dxa" w:w="3120"/>
          </w:tcPr>
          <w:p>
            <w:r/>
            <w:r>
              <w:rPr>
                <w:b/>
                <w:sz w:val="20"/>
              </w:rPr>
              <w:t>Plain English</w:t>
            </w:r>
          </w:p>
        </w:tc>
      </w:tr>
      <w:tr>
        <w:tc>
          <w:tcPr>
            <w:tcW w:type="dxa" w:w="3120"/>
          </w:tcPr>
          <w:p>
            <w:r/>
            <w:r>
              <w:rPr>
                <w:b/>
                <w:sz w:val="20"/>
              </w:rPr>
              <w:t>Source of Truth</w:t>
            </w:r>
          </w:p>
        </w:tc>
        <w:tc>
          <w:tcPr>
            <w:tcW w:type="dxa" w:w="3120"/>
          </w:tcPr>
          <w:p>
            <w:r/>
            <w:r>
              <w:rPr>
                <w:sz w:val="20"/>
              </w:rPr>
              <w:t>Sumber Kebenaran</w:t>
            </w:r>
          </w:p>
        </w:tc>
        <w:tc>
          <w:tcPr>
            <w:tcW w:type="dxa" w:w="3120"/>
          </w:tcPr>
          <w:p>
            <w:r/>
            <w:r>
              <w:rPr>
                <w:sz w:val="20"/>
              </w:rPr>
              <w:t>The ONE system everyone agrees is the master record</w:t>
            </w:r>
          </w:p>
        </w:tc>
      </w:tr>
      <w:tr>
        <w:tc>
          <w:tcPr>
            <w:tcW w:type="dxa" w:w="3120"/>
          </w:tcPr>
          <w:p>
            <w:r/>
            <w:r>
              <w:rPr>
                <w:b/>
                <w:sz w:val="20"/>
              </w:rPr>
              <w:t>GIGO</w:t>
            </w:r>
          </w:p>
        </w:tc>
        <w:tc>
          <w:tcPr>
            <w:tcW w:type="dxa" w:w="3120"/>
          </w:tcPr>
          <w:p>
            <w:r/>
            <w:r>
              <w:rPr>
                <w:sz w:val="20"/>
              </w:rPr>
              <w:t>Sampah Masuk, Sampah Keluar</w:t>
            </w:r>
          </w:p>
        </w:tc>
        <w:tc>
          <w:tcPr>
            <w:tcW w:type="dxa" w:w="3120"/>
          </w:tcPr>
          <w:p>
            <w:r/>
            <w:r>
              <w:rPr>
                <w:sz w:val="20"/>
              </w:rPr>
              <w:t>Bad input data = bad output reports</w:t>
            </w:r>
          </w:p>
        </w:tc>
      </w:tr>
      <w:tr>
        <w:tc>
          <w:tcPr>
            <w:tcW w:type="dxa" w:w="3120"/>
          </w:tcPr>
          <w:p>
            <w:r/>
            <w:r>
              <w:rPr>
                <w:b/>
                <w:sz w:val="20"/>
              </w:rPr>
              <w:t>EODA</w:t>
            </w:r>
          </w:p>
        </w:tc>
        <w:tc>
          <w:tcPr>
            <w:tcW w:type="dxa" w:w="3120"/>
          </w:tcPr>
          <w:p>
            <w:r/>
            <w:r>
              <w:rPr>
                <w:sz w:val="20"/>
              </w:rPr>
              <w:t>Arkib Akhir Hari</w:t>
            </w:r>
          </w:p>
        </w:tc>
        <w:tc>
          <w:tcPr>
            <w:tcW w:type="dxa" w:w="3120"/>
          </w:tcPr>
          <w:p>
            <w:r/>
            <w:r>
              <w:rPr>
                <w:sz w:val="20"/>
              </w:rPr>
              <w:t>A frozen copy of your daily data, saved every night</w:t>
            </w:r>
          </w:p>
        </w:tc>
      </w:tr>
      <w:tr>
        <w:tc>
          <w:tcPr>
            <w:tcW w:type="dxa" w:w="3120"/>
          </w:tcPr>
          <w:p>
            <w:r/>
            <w:r>
              <w:rPr>
                <w:b/>
                <w:sz w:val="20"/>
              </w:rPr>
              <w:t>UUID</w:t>
            </w:r>
          </w:p>
        </w:tc>
        <w:tc>
          <w:tcPr>
            <w:tcW w:type="dxa" w:w="3120"/>
          </w:tcPr>
          <w:p>
            <w:r/>
            <w:r>
              <w:rPr>
                <w:sz w:val="20"/>
              </w:rPr>
              <w:t>Nombor Pengenalan Transaksi</w:t>
            </w:r>
          </w:p>
        </w:tc>
        <w:tc>
          <w:tcPr>
            <w:tcW w:type="dxa" w:w="3120"/>
          </w:tcPr>
          <w:p>
            <w:r/>
            <w:r>
              <w:rPr>
                <w:sz w:val="20"/>
              </w:rPr>
              <w:t>A unique code for every transaction — like an IC number</w:t>
            </w:r>
          </w:p>
        </w:tc>
      </w:tr>
      <w:tr>
        <w:tc>
          <w:tcPr>
            <w:tcW w:type="dxa" w:w="3120"/>
          </w:tcPr>
          <w:p>
            <w:r/>
            <w:r>
              <w:rPr>
                <w:b/>
                <w:sz w:val="20"/>
              </w:rPr>
              <w:t>Reconciliation</w:t>
            </w:r>
          </w:p>
        </w:tc>
        <w:tc>
          <w:tcPr>
            <w:tcW w:type="dxa" w:w="3120"/>
          </w:tcPr>
          <w:p>
            <w:r/>
            <w:r>
              <w:rPr>
                <w:sz w:val="20"/>
              </w:rPr>
              <w:t>Penyesuaian</w:t>
            </w:r>
          </w:p>
        </w:tc>
        <w:tc>
          <w:tcPr>
            <w:tcW w:type="dxa" w:w="3120"/>
          </w:tcPr>
          <w:p>
            <w:r/>
            <w:r>
              <w:rPr>
                <w:sz w:val="20"/>
              </w:rPr>
              <w:t>Comparing two or more sets of numbers to match</w:t>
            </w:r>
          </w:p>
        </w:tc>
      </w:tr>
      <w:tr>
        <w:tc>
          <w:tcPr>
            <w:tcW w:type="dxa" w:w="3120"/>
          </w:tcPr>
          <w:p>
            <w:r/>
            <w:r>
              <w:rPr>
                <w:b/>
                <w:sz w:val="20"/>
              </w:rPr>
              <w:t>Credit Note</w:t>
            </w:r>
          </w:p>
        </w:tc>
        <w:tc>
          <w:tcPr>
            <w:tcW w:type="dxa" w:w="3120"/>
          </w:tcPr>
          <w:p>
            <w:r/>
            <w:r>
              <w:rPr>
                <w:sz w:val="20"/>
              </w:rPr>
              <w:t>Nota Kredit</w:t>
            </w:r>
          </w:p>
        </w:tc>
        <w:tc>
          <w:tcPr>
            <w:tcW w:type="dxa" w:w="3120"/>
          </w:tcPr>
          <w:p>
            <w:r/>
            <w:r>
              <w:rPr>
                <w:sz w:val="20"/>
              </w:rPr>
              <w:t>A document that REDUCES the amount you owe</w:t>
            </w:r>
          </w:p>
        </w:tc>
      </w:tr>
      <w:tr>
        <w:tc>
          <w:tcPr>
            <w:tcW w:type="dxa" w:w="3120"/>
          </w:tcPr>
          <w:p>
            <w:r/>
            <w:r>
              <w:rPr>
                <w:b/>
                <w:sz w:val="20"/>
              </w:rPr>
              <w:t>Debit Note</w:t>
            </w:r>
          </w:p>
        </w:tc>
        <w:tc>
          <w:tcPr>
            <w:tcW w:type="dxa" w:w="3120"/>
          </w:tcPr>
          <w:p>
            <w:r/>
            <w:r>
              <w:rPr>
                <w:sz w:val="20"/>
              </w:rPr>
              <w:t>Nota Debit</w:t>
            </w:r>
          </w:p>
        </w:tc>
        <w:tc>
          <w:tcPr>
            <w:tcW w:type="dxa" w:w="3120"/>
          </w:tcPr>
          <w:p>
            <w:r/>
            <w:r>
              <w:rPr>
                <w:sz w:val="20"/>
              </w:rPr>
              <w:t>A document that INCREASES the amount you owe</w:t>
            </w:r>
          </w:p>
        </w:tc>
      </w:tr>
      <w:tr>
        <w:tc>
          <w:tcPr>
            <w:tcW w:type="dxa" w:w="3120"/>
          </w:tcPr>
          <w:p>
            <w:r/>
            <w:r>
              <w:rPr>
                <w:b/>
                <w:sz w:val="20"/>
              </w:rPr>
              <w:t>E-Invoice</w:t>
            </w:r>
          </w:p>
        </w:tc>
        <w:tc>
          <w:tcPr>
            <w:tcW w:type="dxa" w:w="3120"/>
          </w:tcPr>
          <w:p>
            <w:r/>
            <w:r>
              <w:rPr>
                <w:sz w:val="20"/>
              </w:rPr>
              <w:t>E-Invois</w:t>
            </w:r>
          </w:p>
        </w:tc>
        <w:tc>
          <w:tcPr>
            <w:tcW w:type="dxa" w:w="3120"/>
          </w:tcPr>
          <w:p>
            <w:r/>
            <w:r>
              <w:rPr>
                <w:sz w:val="20"/>
              </w:rPr>
              <w:t>Electronic invoice submitted to LHDN — mandatory</w:t>
            </w:r>
          </w:p>
        </w:tc>
      </w:tr>
      <w:tr>
        <w:tc>
          <w:tcPr>
            <w:tcW w:type="dxa" w:w="3120"/>
          </w:tcPr>
          <w:p>
            <w:r/>
            <w:r>
              <w:rPr>
                <w:b/>
                <w:sz w:val="20"/>
              </w:rPr>
              <w:t>Snapshot</w:t>
            </w:r>
          </w:p>
        </w:tc>
        <w:tc>
          <w:tcPr>
            <w:tcW w:type="dxa" w:w="3120"/>
          </w:tcPr>
          <w:p>
            <w:r/>
            <w:r>
              <w:rPr>
                <w:sz w:val="20"/>
              </w:rPr>
              <w:t>Tangkap Layar Data</w:t>
            </w:r>
          </w:p>
        </w:tc>
        <w:tc>
          <w:tcPr>
            <w:tcW w:type="dxa" w:w="3120"/>
          </w:tcPr>
          <w:p>
            <w:r/>
            <w:r>
              <w:rPr>
                <w:sz w:val="20"/>
              </w:rPr>
              <w:t>A frozen picture of data at one specific moment</w:t>
            </w:r>
          </w:p>
        </w:tc>
      </w:tr>
      <w:tr>
        <w:tc>
          <w:tcPr>
            <w:tcW w:type="dxa" w:w="3120"/>
          </w:tcPr>
          <w:p>
            <w:r/>
            <w:r>
              <w:rPr>
                <w:b/>
                <w:sz w:val="20"/>
              </w:rPr>
              <w:t>Cutoff Time</w:t>
            </w:r>
          </w:p>
        </w:tc>
        <w:tc>
          <w:tcPr>
            <w:tcW w:type="dxa" w:w="3120"/>
          </w:tcPr>
          <w:p>
            <w:r/>
            <w:r>
              <w:rPr>
                <w:sz w:val="20"/>
              </w:rPr>
              <w:t>Masa Potong</w:t>
            </w:r>
          </w:p>
        </w:tc>
        <w:tc>
          <w:tcPr>
            <w:tcW w:type="dxa" w:w="3120"/>
          </w:tcPr>
          <w:p>
            <w:r/>
            <w:r>
              <w:rPr>
                <w:sz w:val="20"/>
              </w:rPr>
              <w:t>The exact time when one day’s data ends and the next begins</w:t>
            </w:r>
          </w:p>
        </w:tc>
      </w:tr>
    </w:tbl>
    <w:p/>
    <w:p>
      <w:r>
        <w:br w:type="page"/>
      </w:r>
    </w:p>
    <w:p>
      <w:pPr>
        <w:pStyle w:val="Heading1"/>
      </w:pPr>
      <w:r>
        <w:t>Appendix B: The Clock Diagram — Why Systems Disagree</w:t>
      </w:r>
    </w:p>
    <w:p>
      <w:pPr>
        <w:ind w:left="567"/>
      </w:pPr>
      <w:r>
        <w:rPr>
          <w:rFonts w:ascii="Courier New" w:hAnsi="Courier New"/>
          <w:sz w:val="18"/>
        </w:rPr>
        <w:t xml:space="preserve">         23:55         00:00          00:05</w:t>
        <w:br/>
        <w:t xml:space="preserve">           |             |              |</w:t>
        <w:br/>
        <w:t xml:space="preserve">    PUMP:  |===SALE===|  |              |     ← Pump records sale at 23:57</w:t>
        <w:br/>
        <w:t xml:space="preserve">           |             |              |</w:t>
        <w:br/>
        <w:t>SENTINEL:  |    ......|BATCH CLOSE|    |     ← SENTINEL closes batch at 00:00</w:t>
        <w:br/>
        <w:t xml:space="preserve">           |             |              |</w:t>
        <w:br/>
        <w:t xml:space="preserve">   SETEL:  |         |BATCH CLOSE|..   |     ← SETEL closes batch at 00:02</w:t>
        <w:br/>
        <w:t xml:space="preserve">           |             |              |</w:t>
        <w:br/>
        <w:t xml:space="preserve">           |             |              |</w:t>
        <w:br/>
        <w:t xml:space="preserve">   RESULT: Pump says sale is on Feb 18</w:t>
        <w:br/>
        <w:t xml:space="preserve">           SENTINEL says sale is on Feb 18 (closed before midnight)</w:t>
        <w:br/>
        <w:t xml:space="preserve">           SETEL says sale is on Feb 19 (closed after midnight)</w:t>
        <w:br/>
        <w:br/>
        <w:t xml:space="preserve">           THREE systems. THREE dates. ONE sale.</w:t>
        <w:br/>
        <w:t xml:space="preserve">           NOBODY is wrong. The DESIGN is wrong.</w:t>
        <w:br/>
        <w:br/>
        <w:t xml:space="preserve">   FIX:    All systems must use the SAME cutoff time.</w:t>
        <w:br/>
        <w:t xml:space="preserve">           Or: all systems must read from the SAME EODA snapshot.</w:t>
      </w:r>
    </w:p>
    <w:p/>
    <w:p/>
    <w:p>
      <w:pPr>
        <w:jc w:val="center"/>
      </w:pPr>
      <w:r>
        <w:rPr>
          <w:b/>
          <w:sz w:val="22"/>
        </w:rPr>
        <w:t>Entruss Ventures Sdn. Bhd.</w:t>
      </w:r>
    </w:p>
    <w:p>
      <w:pPr>
        <w:jc w:val="center"/>
      </w:pPr>
      <w:r>
        <w:rPr>
          <w:color w:val="666666"/>
          <w:sz w:val="20"/>
        </w:rPr>
        <w:t>(1186369-A)</w:t>
        <w:br/>
        <w:t>No. 15, Jalan 1/3c, Seksyen 1, 43650 Bandar Baru Bangi, Selangor D.E.</w:t>
        <w:br/>
        <w:t>Tel: 03-8925 8301 | Email: info@entruss.net</w:t>
      </w:r>
    </w:p>
    <w:p>
      <w:pPr>
        <w:jc w:val="center"/>
      </w:pPr>
      <w:r>
        <w:rPr>
          <w:sz w:val="20"/>
        </w:rPr>
        <w:t>Workshop Enquiries: red1org@gmail.com</w:t>
        <w:br/>
      </w:r>
      <w:r>
        <w:rPr>
          <w:sz w:val="20"/>
        </w:rPr>
        <w:t>KOBB Cooperative: Prof. Dr. Hj. Wan Mohtar Wan Yusoff, Chairman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